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ED3DE">
      <w:pPr>
        <w:spacing w:line="360" w:lineRule="auto"/>
        <w:ind w:firstLine="565" w:firstLineChars="201"/>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附件二：评标办法及评标标准</w:t>
      </w:r>
    </w:p>
    <w:p w14:paraId="678C4D05">
      <w:pPr>
        <w:spacing w:line="360" w:lineRule="auto"/>
        <w:ind w:firstLine="561" w:firstLineChars="266"/>
        <w:rPr>
          <w:b/>
          <w:color w:val="000000" w:themeColor="text1"/>
          <w:szCs w:val="32"/>
          <w14:textFill>
            <w14:solidFill>
              <w14:schemeClr w14:val="tx1"/>
            </w14:solidFill>
          </w14:textFill>
        </w:rPr>
      </w:pPr>
      <w:r>
        <w:rPr>
          <w:rFonts w:hint="eastAsia"/>
          <w:b/>
          <w:color w:val="000000" w:themeColor="text1"/>
          <w:szCs w:val="32"/>
          <w14:textFill>
            <w14:solidFill>
              <w14:schemeClr w14:val="tx1"/>
            </w14:solidFill>
          </w14:textFill>
        </w:rPr>
        <w:t>一、评标办法</w:t>
      </w:r>
    </w:p>
    <w:p w14:paraId="4A22C6A0">
      <w:pPr>
        <w:pStyle w:val="2"/>
        <w:spacing w:line="400" w:lineRule="exact"/>
        <w:ind w:firstLine="562" w:firstLineChars="268"/>
        <w:rPr>
          <w:rFonts w:hAnsi="宋体" w:cs="宋体"/>
          <w:b/>
          <w:color w:val="000000" w:themeColor="text1"/>
          <w:sz w:val="21"/>
          <w14:textFill>
            <w14:solidFill>
              <w14:schemeClr w14:val="tx1"/>
            </w14:solidFill>
          </w14:textFill>
        </w:rPr>
      </w:pPr>
      <w:r>
        <w:rPr>
          <w:rFonts w:hint="eastAsia"/>
          <w:color w:val="000000" w:themeColor="text1"/>
          <w:sz w:val="21"/>
          <w:szCs w:val="32"/>
          <w14:textFill>
            <w14:solidFill>
              <w14:schemeClr w14:val="tx1"/>
            </w14:solidFill>
          </w14:textFill>
        </w:rPr>
        <w:t>评审小组对供应商的报价、技术、商务等方面内容按百分制打分。（计分方法按四舍五入取至百分位）</w:t>
      </w:r>
    </w:p>
    <w:p w14:paraId="6E03DB60">
      <w:pPr>
        <w:pStyle w:val="2"/>
        <w:spacing w:line="360" w:lineRule="exact"/>
        <w:ind w:firstLine="565" w:firstLineChars="268"/>
        <w:rPr>
          <w:rFonts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二、评分方法</w:t>
      </w:r>
    </w:p>
    <w:p w14:paraId="5BAAEDA1">
      <w:pPr>
        <w:pStyle w:val="2"/>
        <w:spacing w:line="360" w:lineRule="exact"/>
        <w:ind w:firstLine="562" w:firstLineChars="268"/>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（一）对进入详评的，采用百分制综合评分法。</w:t>
      </w:r>
    </w:p>
    <w:p w14:paraId="6A6B6D20">
      <w:pPr>
        <w:pStyle w:val="2"/>
        <w:spacing w:line="360" w:lineRule="exact"/>
        <w:ind w:firstLine="562" w:firstLineChars="268"/>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（二）计分办法（按四舍五入取至百分位）：</w:t>
      </w:r>
    </w:p>
    <w:p w14:paraId="27882CAE">
      <w:pPr>
        <w:pStyle w:val="2"/>
        <w:spacing w:line="360" w:lineRule="exact"/>
        <w:ind w:firstLine="565" w:firstLineChars="268"/>
        <w:outlineLvl w:val="0"/>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1、价格分</w:t>
      </w:r>
      <w:r>
        <w:rPr>
          <w:rFonts w:hint="eastAsia" w:ascii="仿宋_GB2312" w:hAnsi="宋体"/>
          <w:b/>
          <w:bCs/>
          <w:color w:val="000000" w:themeColor="text1"/>
          <w:sz w:val="21"/>
          <w14:textFill>
            <w14:solidFill>
              <w14:schemeClr w14:val="tx1"/>
            </w14:solidFill>
          </w14:textFill>
        </w:rPr>
        <w:t>…………………………………………………………………………</w:t>
      </w:r>
      <w:r>
        <w:rPr>
          <w:rFonts w:hint="eastAsia"/>
          <w:b/>
          <w:color w:val="000000" w:themeColor="text1"/>
          <w:sz w:val="21"/>
          <w14:textFill>
            <w14:solidFill>
              <w14:schemeClr w14:val="tx1"/>
            </w14:solidFill>
          </w14:textFill>
        </w:rPr>
        <w:t>20分</w:t>
      </w:r>
    </w:p>
    <w:p w14:paraId="0BF4343C">
      <w:pPr>
        <w:spacing w:line="360" w:lineRule="exact"/>
        <w:ind w:firstLine="562" w:firstLineChars="268"/>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（1）以满足采购文件要求且最后报价最低的供应商价格为基准价，其价格分为20分。</w:t>
      </w:r>
    </w:p>
    <w:p w14:paraId="735CEBE3">
      <w:pPr>
        <w:pStyle w:val="2"/>
        <w:spacing w:line="360" w:lineRule="exact"/>
        <w:ind w:firstLine="562" w:firstLineChars="268"/>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（2）某供应商价格分 =基准价/某供应商评审报价金额×20分。</w:t>
      </w:r>
    </w:p>
    <w:p w14:paraId="17EAFC24">
      <w:pPr>
        <w:pStyle w:val="2"/>
        <w:spacing w:line="360" w:lineRule="exact"/>
        <w:ind w:firstLine="565" w:firstLineChars="268"/>
        <w:outlineLvl w:val="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2、技术分</w:t>
      </w:r>
      <w:r>
        <w:rPr>
          <w:rFonts w:hint="eastAsia" w:ascii="仿宋_GB2312" w:hAnsi="宋体"/>
          <w:b/>
          <w:bCs/>
          <w:color w:val="000000" w:themeColor="text1"/>
          <w:sz w:val="21"/>
          <w14:textFill>
            <w14:solidFill>
              <w14:schemeClr w14:val="tx1"/>
            </w14:solidFill>
          </w14:textFill>
        </w:rPr>
        <w:t>…………………………………………………………………………39</w:t>
      </w:r>
      <w:r>
        <w:rPr>
          <w:rFonts w:hint="eastAsia"/>
          <w:b/>
          <w:color w:val="000000" w:themeColor="text1"/>
          <w:sz w:val="21"/>
          <w14:textFill>
            <w14:solidFill>
              <w14:schemeClr w14:val="tx1"/>
            </w14:solidFill>
          </w14:textFill>
        </w:rPr>
        <w:t>分</w:t>
      </w:r>
    </w:p>
    <w:p w14:paraId="6775537F">
      <w:pPr>
        <w:pStyle w:val="2"/>
        <w:spacing w:line="360" w:lineRule="exact"/>
        <w:ind w:firstLine="562" w:firstLineChars="268"/>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（1）技术性能分（满分9分）</w:t>
      </w:r>
    </w:p>
    <w:p w14:paraId="6E3D4C7E">
      <w:pPr>
        <w:pStyle w:val="2"/>
        <w:spacing w:line="360" w:lineRule="exact"/>
        <w:ind w:firstLine="562" w:firstLineChars="268"/>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技术参数、性能（配置）等各项要求均无负偏离的得9分。每有一项（不带▲号）负偏离的扣3分，直至扣完为止。</w:t>
      </w:r>
    </w:p>
    <w:p w14:paraId="2BF4AC15">
      <w:pPr>
        <w:pStyle w:val="2"/>
        <w:spacing w:line="360" w:lineRule="exact"/>
        <w:ind w:firstLine="562" w:firstLineChars="268"/>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（2）教材出版方案分（满分18分）</w:t>
      </w:r>
    </w:p>
    <w:p w14:paraId="5C797569">
      <w:pPr>
        <w:spacing w:line="360" w:lineRule="exact"/>
        <w:ind w:firstLine="562" w:firstLineChars="26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一档（0分）：未提供服务方案或提供的方案与本项目不符；</w:t>
      </w:r>
    </w:p>
    <w:p w14:paraId="11AC2667">
      <w:pPr>
        <w:spacing w:line="360" w:lineRule="exact"/>
        <w:ind w:firstLine="562" w:firstLineChars="26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二档（6分）：出版方案定位简单，教材出版流程、进度控制、出版时间、排版时间、方案进度和工作计划粗略，服务组织机构和人员配备一般，排版等质量相对一般，基本满足实施要求；</w:t>
      </w:r>
    </w:p>
    <w:p w14:paraId="6B5E05C1">
      <w:pPr>
        <w:spacing w:line="360" w:lineRule="exact"/>
        <w:ind w:firstLine="562" w:firstLineChars="26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12分）：出版方案定位较明确，教材出版流程、进度控制、出版时间、排版时间、方案进度和工作计划合理比较紧凑，服务组织机构和人员配备良好，印刷和版面设计、排版等质量相对良好，良好满足实施要求；</w:t>
      </w:r>
    </w:p>
    <w:p w14:paraId="566DC499">
      <w:pPr>
        <w:spacing w:line="360" w:lineRule="exact"/>
        <w:ind w:firstLine="562" w:firstLineChars="26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档（18分）：熟悉项目情况，出版方案定位明确，教材出版流程、进度控制、出版时间、排版时间、方案进度和工作计划合理紧凑，服务组织机构和人员配备优秀，印刷和版面设计、排版等质量相对优秀，契合采购方的要求。</w:t>
      </w:r>
    </w:p>
    <w:p w14:paraId="74E96183">
      <w:pPr>
        <w:pStyle w:val="2"/>
        <w:spacing w:line="360" w:lineRule="exact"/>
        <w:ind w:firstLine="562" w:firstLineChars="268"/>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（3）投入的人员能力分（满分12分）</w:t>
      </w:r>
    </w:p>
    <w:p w14:paraId="1BB62F4B">
      <w:pPr>
        <w:pStyle w:val="2"/>
        <w:spacing w:line="360" w:lineRule="exact"/>
        <w:ind w:firstLine="562" w:firstLineChars="268"/>
        <w:jc w:val="left"/>
        <w:outlineLvl w:val="0"/>
        <w:rPr>
          <w:rFonts w:hAnsi="宋体" w:eastAsia="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响应文件中提供投入人员一览表，其中：</w:t>
      </w:r>
    </w:p>
    <w:p w14:paraId="254F4C9B">
      <w:pPr>
        <w:pStyle w:val="2"/>
        <w:spacing w:line="360" w:lineRule="exact"/>
        <w:ind w:firstLine="562" w:firstLineChars="268"/>
        <w:jc w:val="left"/>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①供应商具有编审（正高）职称的终审人员，每份得2分，满分4分；</w:t>
      </w:r>
    </w:p>
    <w:p w14:paraId="57792D00">
      <w:pPr>
        <w:pStyle w:val="2"/>
        <w:spacing w:line="360" w:lineRule="exact"/>
        <w:ind w:firstLine="562" w:firstLineChars="268"/>
        <w:jc w:val="left"/>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②供应商具有副编审（副高）职称的复审人员，每份得1.5分，满分3 分；</w:t>
      </w:r>
    </w:p>
    <w:p w14:paraId="103580D4">
      <w:pPr>
        <w:pStyle w:val="2"/>
        <w:spacing w:line="360" w:lineRule="exact"/>
        <w:ind w:firstLine="562" w:firstLineChars="268"/>
        <w:jc w:val="left"/>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③供应商具有编辑、出版相关的中级职称的人员，每份得1分，满分3分；。</w:t>
      </w:r>
    </w:p>
    <w:p w14:paraId="0A0883BA">
      <w:pPr>
        <w:pStyle w:val="2"/>
        <w:spacing w:line="360" w:lineRule="exact"/>
        <w:ind w:firstLine="562" w:firstLineChars="268"/>
        <w:jc w:val="left"/>
        <w:outlineLvl w:val="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注：上述人员须提供身份证复印件、职称（资格）证书复印件</w:t>
      </w:r>
      <w:bookmarkStart w:id="0" w:name="_GoBack"/>
      <w:bookmarkEnd w:id="0"/>
      <w:r>
        <w:rPr>
          <w:rFonts w:hint="eastAsia" w:hAnsi="宋体" w:cs="宋体"/>
          <w:bCs/>
          <w:color w:val="000000" w:themeColor="text1"/>
          <w:sz w:val="21"/>
          <w14:textFill>
            <w14:solidFill>
              <w14:schemeClr w14:val="tx1"/>
            </w14:solidFill>
          </w14:textFill>
        </w:rPr>
        <w:t>，加盖供应商单位公章，否则不予认可）。</w:t>
      </w:r>
    </w:p>
    <w:p w14:paraId="59F4A882">
      <w:pPr>
        <w:spacing w:line="360" w:lineRule="exact"/>
        <w:ind w:firstLine="562" w:firstLineChars="268"/>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④供应商编辑人员参加省级、国家级编校技能大赛，获得国家级三等奖或以上的，每人次得2分；获得省级三等奖或以上的，每人次得1分；满分2分（需提供获奖证明材料复印件，并加盖</w:t>
      </w:r>
      <w:r>
        <w:rPr>
          <w:rFonts w:hint="eastAsia" w:hAnsi="宋体" w:cs="宋体"/>
          <w:bCs/>
          <w:color w:val="000000" w:themeColor="text1"/>
          <w14:textFill>
            <w14:solidFill>
              <w14:schemeClr w14:val="tx1"/>
            </w14:solidFill>
          </w14:textFill>
        </w:rPr>
        <w:t>供应商单位</w:t>
      </w:r>
      <w:r>
        <w:rPr>
          <w:rFonts w:hint="eastAsia" w:ascii="宋体" w:hAnsi="宋体" w:eastAsia="宋体" w:cs="宋体"/>
          <w:bCs/>
          <w:color w:val="000000" w:themeColor="text1"/>
          <w:kern w:val="0"/>
          <w:szCs w:val="21"/>
          <w14:textFill>
            <w14:solidFill>
              <w14:schemeClr w14:val="tx1"/>
            </w14:solidFill>
          </w14:textFill>
        </w:rPr>
        <w:t>公章）。</w:t>
      </w:r>
    </w:p>
    <w:p w14:paraId="0F099BC1">
      <w:pPr>
        <w:pStyle w:val="2"/>
        <w:spacing w:line="360" w:lineRule="exact"/>
        <w:ind w:firstLine="565" w:firstLineChars="268"/>
        <w:outlineLvl w:val="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3、售后服务方案分</w:t>
      </w:r>
      <w:r>
        <w:rPr>
          <w:rFonts w:hint="eastAsia" w:hAnsi="宋体" w:cs="宋体"/>
          <w:b/>
          <w:bCs/>
          <w:color w:val="000000" w:themeColor="text1"/>
          <w:sz w:val="21"/>
          <w14:textFill>
            <w14:solidFill>
              <w14:schemeClr w14:val="tx1"/>
            </w14:solidFill>
          </w14:textFill>
        </w:rPr>
        <w:t>……………………………</w:t>
      </w:r>
      <w:r>
        <w:rPr>
          <w:rFonts w:hint="eastAsia" w:ascii="仿宋_GB2312" w:hAnsi="宋体"/>
          <w:b/>
          <w:bCs/>
          <w:color w:val="000000" w:themeColor="text1"/>
          <w:sz w:val="21"/>
          <w14:textFill>
            <w14:solidFill>
              <w14:schemeClr w14:val="tx1"/>
            </w14:solidFill>
          </w14:textFill>
        </w:rPr>
        <w:t>…</w:t>
      </w:r>
      <w:r>
        <w:rPr>
          <w:rFonts w:hint="eastAsia" w:hAnsi="宋体" w:cs="宋体"/>
          <w:b/>
          <w:bCs/>
          <w:color w:val="000000" w:themeColor="text1"/>
          <w:sz w:val="21"/>
          <w14:textFill>
            <w14:solidFill>
              <w14:schemeClr w14:val="tx1"/>
            </w14:solidFill>
          </w14:textFill>
        </w:rPr>
        <w:t>………</w:t>
      </w:r>
      <w:r>
        <w:rPr>
          <w:rFonts w:hint="eastAsia" w:ascii="仿宋_GB2312" w:hAnsi="宋体"/>
          <w:b/>
          <w:bCs/>
          <w:color w:val="000000" w:themeColor="text1"/>
          <w:sz w:val="21"/>
          <w14:textFill>
            <w14:solidFill>
              <w14:schemeClr w14:val="tx1"/>
            </w14:solidFill>
          </w14:textFill>
        </w:rPr>
        <w:t>…</w:t>
      </w:r>
      <w:r>
        <w:rPr>
          <w:rFonts w:hint="eastAsia" w:hAnsi="宋体" w:cs="宋体"/>
          <w:b/>
          <w:bCs/>
          <w:color w:val="000000" w:themeColor="text1"/>
          <w:sz w:val="21"/>
          <w14:textFill>
            <w14:solidFill>
              <w14:schemeClr w14:val="tx1"/>
            </w14:solidFill>
          </w14:textFill>
        </w:rPr>
        <w:t>…………………</w:t>
      </w:r>
      <w:r>
        <w:rPr>
          <w:rFonts w:hint="eastAsia" w:hAnsi="宋体" w:cs="宋体"/>
          <w:b/>
          <w:color w:val="000000" w:themeColor="text1"/>
          <w:sz w:val="21"/>
          <w14:textFill>
            <w14:solidFill>
              <w14:schemeClr w14:val="tx1"/>
            </w14:solidFill>
          </w14:textFill>
        </w:rPr>
        <w:t>16分</w:t>
      </w:r>
      <w:r>
        <w:rPr>
          <w:rFonts w:hint="eastAsia" w:hAnsi="宋体" w:cs="宋体"/>
          <w:color w:val="000000" w:themeColor="text1"/>
          <w:sz w:val="21"/>
          <w14:textFill>
            <w14:solidFill>
              <w14:schemeClr w14:val="tx1"/>
            </w14:solidFill>
          </w14:textFill>
        </w:rPr>
        <w:t xml:space="preserve">                      </w:t>
      </w:r>
    </w:p>
    <w:p w14:paraId="2F551062">
      <w:pPr>
        <w:spacing w:line="360" w:lineRule="exact"/>
        <w:ind w:firstLine="562" w:firstLineChars="2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一档（0分）：未提供售后服务方案或提供的方案与本项目不符；</w:t>
      </w:r>
    </w:p>
    <w:p w14:paraId="64EDCFF3">
      <w:pPr>
        <w:spacing w:line="360" w:lineRule="exact"/>
        <w:ind w:firstLine="562" w:firstLineChars="2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档（5分）：供应商售后服务方案简单，方案内容包含有对质保期内、外出版物质量保证相关措施的描述，内容没有明显疏漏，方案中提供距离采购人最近的服务机构或网点地址及相关售后服务人员名单、联系方式，方案总体符合采购文件要求；</w:t>
      </w:r>
    </w:p>
    <w:p w14:paraId="39682AB5">
      <w:pPr>
        <w:spacing w:line="360" w:lineRule="exact"/>
        <w:ind w:firstLine="562" w:firstLineChars="2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三档（10 分）：供应商售后服务方案较详细，方案内容包含有对质保期内、外出版物质量保证相关措施的具体描述，措施可行、渠道合理，方案中提供距离采购人最近的服务机构或网点地址及相关售后服务人员名单、联系方式，方案总体符合采购文件要求；</w:t>
      </w:r>
    </w:p>
    <w:p w14:paraId="3C870227">
      <w:pPr>
        <w:spacing w:line="360" w:lineRule="exact"/>
        <w:ind w:firstLine="562" w:firstLineChars="2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四档（16分）: 供应商售后服务方案全面、详细，方案内容包含有对质保期内、外出版物质量保证相关措施的具体描述，描述清楚、可行，措施到位、有针对性，资源配置合理，方案中还应提供距离采购人最近的服务机构或网点地址及相关售后服务人员名单、联系方式，退换便利，方案总体符合或优于采购文件要求。</w:t>
      </w:r>
    </w:p>
    <w:p w14:paraId="7C199259">
      <w:pPr>
        <w:pStyle w:val="2"/>
        <w:spacing w:line="360" w:lineRule="exact"/>
        <w:ind w:firstLine="565" w:firstLineChars="268"/>
        <w:outlineLvl w:val="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4、业绩分</w:t>
      </w:r>
      <w:r>
        <w:rPr>
          <w:rFonts w:hint="eastAsia" w:hAnsi="宋体" w:cs="宋体"/>
          <w:b/>
          <w:bCs/>
          <w:color w:val="000000" w:themeColor="text1"/>
          <w:sz w:val="21"/>
          <w14:textFill>
            <w14:solidFill>
              <w14:schemeClr w14:val="tx1"/>
            </w14:solidFill>
          </w14:textFill>
        </w:rPr>
        <w:t>………………………………………………………………………</w:t>
      </w:r>
      <w:r>
        <w:rPr>
          <w:rFonts w:hint="eastAsia" w:hAnsi="宋体" w:cs="宋体"/>
          <w:b/>
          <w:color w:val="000000" w:themeColor="text1"/>
          <w:sz w:val="21"/>
          <w14:textFill>
            <w14:solidFill>
              <w14:schemeClr w14:val="tx1"/>
            </w14:solidFill>
          </w14:textFill>
        </w:rPr>
        <w:t>10分</w:t>
      </w:r>
    </w:p>
    <w:p w14:paraId="2FEAD15E">
      <w:pPr>
        <w:pStyle w:val="2"/>
        <w:spacing w:line="360" w:lineRule="exact"/>
        <w:ind w:firstLine="562" w:firstLineChars="268"/>
        <w:outlineLvl w:val="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供应商自2020年1月1日以来的同类项目成功案例（提供同类项目的中标通知书或合同复印件，并加盖单位公章），每项得2分，满分10分。</w:t>
      </w:r>
    </w:p>
    <w:p w14:paraId="62894536">
      <w:pPr>
        <w:pStyle w:val="2"/>
        <w:spacing w:line="360" w:lineRule="exact"/>
        <w:ind w:firstLine="565" w:firstLineChars="268"/>
        <w:outlineLvl w:val="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5、信誉分</w:t>
      </w:r>
      <w:r>
        <w:rPr>
          <w:rFonts w:hint="eastAsia" w:hAnsi="宋体" w:cs="宋体"/>
          <w:b/>
          <w:bCs/>
          <w:color w:val="000000" w:themeColor="text1"/>
          <w:sz w:val="21"/>
          <w14:textFill>
            <w14:solidFill>
              <w14:schemeClr w14:val="tx1"/>
            </w14:solidFill>
          </w14:textFill>
        </w:rPr>
        <w:t>………………………………………………………………………</w:t>
      </w:r>
      <w:r>
        <w:rPr>
          <w:rFonts w:hint="eastAsia" w:hAnsi="宋体" w:cs="宋体"/>
          <w:b/>
          <w:color w:val="000000" w:themeColor="text1"/>
          <w:sz w:val="21"/>
          <w14:textFill>
            <w14:solidFill>
              <w14:schemeClr w14:val="tx1"/>
            </w14:solidFill>
          </w14:textFill>
        </w:rPr>
        <w:t>15分</w:t>
      </w:r>
    </w:p>
    <w:p w14:paraId="731B1E8D">
      <w:pPr>
        <w:spacing w:line="360" w:lineRule="exact"/>
        <w:ind w:firstLine="562" w:firstLineChars="2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（1）供应商出版的教材获得首届全国教材建设奖项，特等奖加3分，一等奖加2分，二等奖加1分，满分6分；</w:t>
      </w:r>
    </w:p>
    <w:p w14:paraId="5225FFFB">
      <w:pPr>
        <w:spacing w:line="360" w:lineRule="exact"/>
        <w:ind w:firstLine="565" w:firstLineChars="268"/>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注：供应商须提供获奖证书复印件或国家公示文件（含文件批号）复印件，否则不予认可。</w:t>
      </w:r>
    </w:p>
    <w:p w14:paraId="52F4C5A4">
      <w:pPr>
        <w:spacing w:line="360" w:lineRule="exact"/>
        <w:ind w:firstLine="562" w:firstLineChars="2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（2）供应商获得国家级“十四五”规划教材（职业教材）立项</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0种以下得1分，</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 xml:space="preserve">0种得3分， </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1种以上得6分，满分6分。</w:t>
      </w:r>
    </w:p>
    <w:p w14:paraId="28ACF171">
      <w:pPr>
        <w:spacing w:line="360" w:lineRule="exact"/>
        <w:ind w:firstLine="565" w:firstLineChars="268"/>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注：供应商须提国家公示文件（含文件批号）复印件，否则不予认可。</w:t>
      </w:r>
    </w:p>
    <w:p w14:paraId="7B762E6A">
      <w:pPr>
        <w:pStyle w:val="2"/>
        <w:spacing w:line="400" w:lineRule="exact"/>
        <w:ind w:firstLine="562" w:firstLineChars="268"/>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3）供应商2019年以来主持或策划的出版项目获得国家级奖项（中国出版政府奖、中华优秀出版物奖、“五个一”工程奖）或者获得国家资金扶持（入选“十三五”国家重点规划出版项目、国家出版基金项目、国家古籍整理出版项目、国家社科基金项目），每有1项得1分，满分3分。</w:t>
      </w:r>
    </w:p>
    <w:p w14:paraId="71882701">
      <w:pPr>
        <w:pStyle w:val="5"/>
        <w:spacing w:before="0" w:after="0" w:line="360" w:lineRule="exact"/>
        <w:ind w:firstLine="565" w:firstLineChars="268"/>
        <w:jc w:val="left"/>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注：供应商提供证书或其他证明材料复印件，否则不予认可。</w:t>
      </w:r>
    </w:p>
    <w:p w14:paraId="56BA4E77">
      <w:pPr>
        <w:pStyle w:val="2"/>
        <w:tabs>
          <w:tab w:val="left" w:pos="900"/>
        </w:tabs>
        <w:spacing w:line="360" w:lineRule="exact"/>
        <w:ind w:firstLine="565" w:firstLineChars="268"/>
        <w:jc w:val="left"/>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总得分 = 1 + 2 + 3 + 4 + 5</w:t>
      </w:r>
    </w:p>
    <w:p w14:paraId="045F7C60">
      <w:pPr>
        <w:pStyle w:val="2"/>
        <w:spacing w:line="360" w:lineRule="exact"/>
        <w:ind w:firstLine="565" w:firstLineChars="268"/>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三、成交候选人推荐原则</w:t>
      </w:r>
    </w:p>
    <w:p w14:paraId="047CB33A">
      <w:pPr>
        <w:pStyle w:val="2"/>
        <w:spacing w:line="360" w:lineRule="exact"/>
        <w:ind w:firstLine="562" w:firstLineChars="268"/>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p>
    <w:p w14:paraId="06C3E063">
      <w:pPr>
        <w:spacing w:line="360" w:lineRule="auto"/>
        <w:ind w:firstLine="638" w:firstLineChars="266"/>
        <w:rPr>
          <w:color w:val="000000" w:themeColor="text1"/>
          <w:sz w:val="24"/>
          <w:szCs w:val="32"/>
          <w14:textFill>
            <w14:solidFill>
              <w14:schemeClr w14:val="tx1"/>
            </w14:solidFill>
          </w14:textFill>
        </w:rPr>
      </w:pPr>
    </w:p>
    <w:p w14:paraId="5DAFD5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Dk0ZTZjOTExMzk1YjgzOWQ2MDg3OTI2MDIxNjAifQ=="/>
  </w:docVars>
  <w:rsids>
    <w:rsidRoot w:val="288273E6"/>
    <w:rsid w:val="18E14C0D"/>
    <w:rsid w:val="2882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customStyle="1" w:styleId="5">
    <w:name w:val="Heading4"/>
    <w:basedOn w:val="1"/>
    <w:next w:val="1"/>
    <w:qFormat/>
    <w:uiPriority w:val="0"/>
    <w:pPr>
      <w:widowControl/>
      <w:spacing w:before="120" w:after="120" w:line="360" w:lineRule="auto"/>
      <w:ind w:firstLine="3584"/>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2092</Words>
  <Characters>2120</Characters>
  <Lines>0</Lines>
  <Paragraphs>0</Paragraphs>
  <TotalTime>1</TotalTime>
  <ScaleCrop>false</ScaleCrop>
  <LinksUpToDate>false</LinksUpToDate>
  <CharactersWithSpaces>2157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2023-10-20T11:58:00Z</dcterms:created>
  <dc:creator>Administrator</dc:creator>
  <cp:lastModifiedBy>廖福振</cp:lastModifiedBy>
  <dcterms:modified xsi:type="dcterms:W3CDTF">2025-09-16T03:29:25Z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CEFFBC2F7A8F4EB7A70D3E9CB13ECA82_11</vt:lpwstr>
  </property>
  <property fmtid="{D5CDD505-2E9C-101B-9397-08002B2CF9AE}" pid="4" name="KSOTemplateDocerSaveRecord">
    <vt:lpwstr>eyJoZGlkIjoiNzk4ZDRiYTY2MGZmZTcwZDBkM2Y1YTA1NzY1NTM5ZDIiLCJ1c2VySWQiOiIxNjY5MTg0OTQ3In0=</vt:lpwstr>
  </property>
</Properties>
</file>