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B5D88">
      <w:pPr>
        <w:outlineLvl w:val="0"/>
        <w:rPr>
          <w:rFonts w:ascii="宋体" w:hAnsi="宋体" w:eastAsia="宋体" w:cs="宋体"/>
          <w:b/>
          <w:bCs/>
          <w:color w:val="000000"/>
          <w:kern w:val="0"/>
          <w:sz w:val="28"/>
          <w:szCs w:val="28"/>
          <w:lang w:bidi="ar"/>
        </w:rPr>
      </w:pPr>
      <w:bookmarkStart w:id="1" w:name="_GoBack"/>
      <w:r>
        <w:rPr>
          <w:rFonts w:hint="eastAsia" w:ascii="宋体" w:hAnsi="宋体" w:eastAsia="宋体" w:cs="宋体"/>
          <w:b/>
          <w:bCs/>
          <w:color w:val="000000"/>
          <w:kern w:val="0"/>
          <w:sz w:val="28"/>
          <w:szCs w:val="28"/>
          <w:lang w:bidi="ar"/>
        </w:rPr>
        <w:t>附件二</w:t>
      </w:r>
      <w:bookmarkStart w:id="0" w:name="_Toc49873391"/>
      <w:r>
        <w:rPr>
          <w:rFonts w:hint="eastAsia" w:ascii="宋体" w:hAnsi="宋体" w:eastAsia="宋体" w:cs="宋体"/>
          <w:b/>
          <w:bCs/>
          <w:color w:val="000000"/>
          <w:kern w:val="0"/>
          <w:sz w:val="28"/>
          <w:szCs w:val="28"/>
          <w:lang w:bidi="ar"/>
        </w:rPr>
        <w:t>：评标</w:t>
      </w:r>
      <w:bookmarkEnd w:id="0"/>
      <w:r>
        <w:rPr>
          <w:rFonts w:hint="eastAsia" w:ascii="宋体" w:hAnsi="宋体" w:eastAsia="宋体" w:cs="宋体"/>
          <w:b/>
          <w:bCs/>
          <w:color w:val="000000"/>
          <w:kern w:val="0"/>
          <w:sz w:val="28"/>
          <w:szCs w:val="28"/>
          <w:lang w:bidi="ar"/>
        </w:rPr>
        <w:t>标准</w:t>
      </w:r>
    </w:p>
    <w:bookmarkEnd w:id="1"/>
    <w:tbl>
      <w:tblPr>
        <w:tblStyle w:val="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86"/>
        <w:gridCol w:w="728"/>
        <w:gridCol w:w="6462"/>
      </w:tblGrid>
      <w:tr w14:paraId="3285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92" w:type="dxa"/>
            <w:gridSpan w:val="2"/>
            <w:vAlign w:val="center"/>
          </w:tcPr>
          <w:p w14:paraId="25296B6F">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评价因素</w:t>
            </w:r>
          </w:p>
        </w:tc>
        <w:tc>
          <w:tcPr>
            <w:tcW w:w="728" w:type="dxa"/>
            <w:vAlign w:val="center"/>
          </w:tcPr>
          <w:p w14:paraId="4DD8182C">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分值</w:t>
            </w:r>
          </w:p>
        </w:tc>
        <w:tc>
          <w:tcPr>
            <w:tcW w:w="6462" w:type="dxa"/>
            <w:vAlign w:val="center"/>
          </w:tcPr>
          <w:p w14:paraId="6598C14D">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说明</w:t>
            </w:r>
          </w:p>
        </w:tc>
      </w:tr>
      <w:tr w14:paraId="741F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Align w:val="center"/>
          </w:tcPr>
          <w:p w14:paraId="3919B2A2">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rPr>
              <w:t>价格</w:t>
            </w:r>
          </w:p>
          <w:p w14:paraId="0E84F69D">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tc>
        <w:tc>
          <w:tcPr>
            <w:tcW w:w="1686" w:type="dxa"/>
            <w:vAlign w:val="center"/>
          </w:tcPr>
          <w:p w14:paraId="4D014E86">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报价</w:t>
            </w:r>
          </w:p>
        </w:tc>
        <w:tc>
          <w:tcPr>
            <w:tcW w:w="728" w:type="dxa"/>
            <w:vAlign w:val="center"/>
          </w:tcPr>
          <w:p w14:paraId="60BA2C1D">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c>
          <w:tcPr>
            <w:tcW w:w="6462" w:type="dxa"/>
            <w:vAlign w:val="center"/>
          </w:tcPr>
          <w:p w14:paraId="76AE64C0">
            <w:pPr>
              <w:keepNext w:val="0"/>
              <w:keepLines w:val="0"/>
              <w:pageBreakBefore w:val="0"/>
              <w:widowControl w:val="0"/>
              <w:kinsoku/>
              <w:wordWrap/>
              <w:overflowPunct/>
              <w:topLinePunct w:val="0"/>
              <w:autoSpaceDE/>
              <w:autoSpaceDN/>
              <w:bidi w:val="0"/>
              <w:snapToGrid/>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以本次投标报价平均值为基准价，各投标人报价以评标基准价为最优得分，每高于基准价2％扣1分，每低于基准价2％扣0.5分；不足2％部分按内插法计算，小数点后保留两位小数。</w:t>
            </w:r>
          </w:p>
        </w:tc>
      </w:tr>
      <w:tr w14:paraId="6083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Merge w:val="restart"/>
            <w:vAlign w:val="center"/>
          </w:tcPr>
          <w:p w14:paraId="7037A2DB">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rPr>
              <w:t>技术</w:t>
            </w:r>
          </w:p>
          <w:p w14:paraId="07A6BCA4">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部分</w:t>
            </w:r>
          </w:p>
        </w:tc>
        <w:tc>
          <w:tcPr>
            <w:tcW w:w="1686" w:type="dxa"/>
            <w:vAlign w:val="center"/>
          </w:tcPr>
          <w:p w14:paraId="47E46B3F">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货物基本分</w:t>
            </w:r>
          </w:p>
        </w:tc>
        <w:tc>
          <w:tcPr>
            <w:tcW w:w="728" w:type="dxa"/>
            <w:vAlign w:val="center"/>
          </w:tcPr>
          <w:p w14:paraId="6A677DB0">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6462" w:type="dxa"/>
            <w:tcBorders>
              <w:bottom w:val="single" w:color="auto" w:sz="4" w:space="0"/>
            </w:tcBorders>
            <w:vAlign w:val="center"/>
          </w:tcPr>
          <w:p w14:paraId="02DC3B1D">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lang w:val="en-US" w:eastAsia="zh-CN"/>
              </w:rPr>
              <w:t>根据招标文件《动物微生物及检验》课程资源详细参数要求的响应情况进行评审：技术参数要求完全满足招标文件的得25分。非实质性要求的技术参数（非标注“▲”的技术参数）：有负偏离或漏项的每一项扣4分，最多扣完本项分值。</w:t>
            </w:r>
          </w:p>
        </w:tc>
      </w:tr>
      <w:tr w14:paraId="3789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Merge w:val="continue"/>
            <w:vAlign w:val="center"/>
          </w:tcPr>
          <w:p w14:paraId="241033D3">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p>
        </w:tc>
        <w:tc>
          <w:tcPr>
            <w:tcW w:w="1686" w:type="dxa"/>
            <w:vAlign w:val="center"/>
          </w:tcPr>
          <w:p w14:paraId="35C05596">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rPr>
              <w:t>项目实施方案</w:t>
            </w:r>
          </w:p>
        </w:tc>
        <w:tc>
          <w:tcPr>
            <w:tcW w:w="728" w:type="dxa"/>
            <w:vAlign w:val="center"/>
          </w:tcPr>
          <w:p w14:paraId="6276CE80">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462" w:type="dxa"/>
            <w:tcBorders>
              <w:bottom w:val="single" w:color="auto" w:sz="4" w:space="0"/>
            </w:tcBorders>
            <w:vAlign w:val="center"/>
          </w:tcPr>
          <w:p w14:paraId="13F6541F">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根据对整体项目的理解程度情况，实施方案、系统架构组建方案、后期运营方案以及系统设备功能扩展应用方案，人员配备、分工、实施准备、进度安排、质量控制、检测及验收、项目移交等方面描述：</w:t>
            </w:r>
          </w:p>
          <w:p w14:paraId="707B3FC4">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一档（</w:t>
            </w:r>
            <w:r>
              <w:rPr>
                <w:rFonts w:hint="eastAsia" w:ascii="宋体" w:hAnsi="宋体" w:eastAsia="宋体" w:cs="宋体"/>
                <w:sz w:val="24"/>
                <w:szCs w:val="24"/>
                <w:lang w:val="en-US" w:eastAsia="zh-CN"/>
              </w:rPr>
              <w:t>8</w:t>
            </w:r>
            <w:r>
              <w:rPr>
                <w:rFonts w:hint="eastAsia" w:ascii="宋体" w:hAnsi="宋体" w:eastAsia="宋体" w:cs="宋体"/>
                <w:sz w:val="24"/>
                <w:szCs w:val="24"/>
              </w:rPr>
              <w:t>分）：供应商对本项目的理解、项目实施计划、技术人员安排表述一般，能提供较完整的实施方案，没有明显的技术错误，技术及实施方案较简单，方案描述不够清晰，描述不够具体，无法说明其可行性，列入第一档。</w:t>
            </w:r>
          </w:p>
          <w:p w14:paraId="1715292D">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二档（</w:t>
            </w:r>
            <w:r>
              <w:rPr>
                <w:rFonts w:hint="eastAsia" w:ascii="宋体" w:hAnsi="宋体" w:eastAsia="宋体" w:cs="宋体"/>
                <w:sz w:val="24"/>
                <w:szCs w:val="24"/>
                <w:lang w:val="en-US" w:eastAsia="zh-CN"/>
              </w:rPr>
              <w:t>13</w:t>
            </w:r>
            <w:r>
              <w:rPr>
                <w:rFonts w:hint="eastAsia" w:ascii="宋体" w:hAnsi="宋体" w:eastAsia="宋体" w:cs="宋体"/>
                <w:sz w:val="24"/>
                <w:szCs w:val="24"/>
              </w:rPr>
              <w:t>分）：供应商对本项目的理解、项目实施计划、技术人员表安排表述清晰、完整、严谨、合理，能够提供较完整的实施方案，阐述清楚产品的功能，功能描述相对具体，基本符合项目的需要，论证基本准确列入第二档。</w:t>
            </w:r>
          </w:p>
          <w:p w14:paraId="07B7121D">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三档（</w:t>
            </w:r>
            <w:r>
              <w:rPr>
                <w:rFonts w:hint="eastAsia" w:ascii="宋体" w:hAnsi="宋体" w:eastAsia="宋体" w:cs="宋体"/>
                <w:sz w:val="24"/>
                <w:szCs w:val="24"/>
                <w:lang w:val="en-US" w:eastAsia="zh-CN"/>
              </w:rPr>
              <w:t>20</w:t>
            </w:r>
            <w:r>
              <w:rPr>
                <w:rFonts w:hint="eastAsia" w:ascii="宋体" w:hAnsi="宋体" w:eastAsia="宋体" w:cs="宋体"/>
                <w:sz w:val="24"/>
                <w:szCs w:val="24"/>
              </w:rPr>
              <w:t>分）：供应商对本项目的理解、项目实施计划、技术人员表安排表述清晰、完整、严谨、合理，能够完整提供完整可行的实施方案，方案完全符合项目要求，且方案完整全面，阐述清楚各产品的功能，各个产品功能描述具体详细，完全满足项目需要；能够完全满足采购文件中的功能要求、性能要求和实施要求；在此基础上充分了解采购方的实际情况和需求，针对项目核心风险点进行分析，并提出具有针对性的合理化建议及切实可行的解决方案和应对措施，服务响应措施；对采购人实际情况和未来发展有针对性的设计及合理化建议，列入第三档。</w:t>
            </w:r>
          </w:p>
        </w:tc>
      </w:tr>
      <w:tr w14:paraId="702A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06" w:type="dxa"/>
            <w:vMerge w:val="restart"/>
            <w:vAlign w:val="center"/>
          </w:tcPr>
          <w:p w14:paraId="0B7BD001">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rPr>
              <w:t>商务</w:t>
            </w:r>
          </w:p>
          <w:p w14:paraId="6FAC7001">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tc>
        <w:tc>
          <w:tcPr>
            <w:tcW w:w="1686" w:type="dxa"/>
            <w:vAlign w:val="center"/>
          </w:tcPr>
          <w:p w14:paraId="11FE7E76">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r>
              <w:rPr>
                <w:rFonts w:hint="eastAsia" w:ascii="宋体" w:hAnsi="宋体" w:eastAsia="宋体" w:cs="宋体"/>
                <w:sz w:val="24"/>
                <w:szCs w:val="24"/>
              </w:rPr>
              <w:t>类似业绩</w:t>
            </w:r>
          </w:p>
        </w:tc>
        <w:tc>
          <w:tcPr>
            <w:tcW w:w="728" w:type="dxa"/>
            <w:vAlign w:val="center"/>
          </w:tcPr>
          <w:p w14:paraId="073F3CD7">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462" w:type="dxa"/>
            <w:vAlign w:val="center"/>
          </w:tcPr>
          <w:p w14:paraId="009FF0A6">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提供近</w:t>
            </w:r>
            <w:r>
              <w:rPr>
                <w:rFonts w:hint="eastAsia" w:ascii="宋体" w:hAnsi="宋体" w:eastAsia="宋体" w:cs="宋体"/>
                <w:sz w:val="24"/>
                <w:szCs w:val="24"/>
                <w:lang w:val="en-US" w:eastAsia="zh-CN"/>
              </w:rPr>
              <w:t>五</w:t>
            </w:r>
            <w:r>
              <w:rPr>
                <w:rFonts w:hint="eastAsia" w:ascii="宋体" w:hAnsi="宋体" w:eastAsia="宋体" w:cs="宋体"/>
                <w:sz w:val="24"/>
                <w:szCs w:val="24"/>
              </w:rPr>
              <w:t>年内</w:t>
            </w:r>
            <w:r>
              <w:rPr>
                <w:rFonts w:hint="eastAsia" w:ascii="宋体" w:hAnsi="宋体" w:eastAsia="宋体" w:cs="宋体"/>
                <w:sz w:val="24"/>
                <w:szCs w:val="24"/>
                <w:lang w:val="en-US" w:eastAsia="zh-CN"/>
              </w:rPr>
              <w:t>学校客户</w:t>
            </w:r>
            <w:r>
              <w:rPr>
                <w:rFonts w:hint="eastAsia" w:ascii="宋体" w:hAnsi="宋体" w:eastAsia="宋体" w:cs="宋体"/>
                <w:sz w:val="24"/>
                <w:szCs w:val="24"/>
              </w:rPr>
              <w:t>同类型</w:t>
            </w:r>
            <w:r>
              <w:rPr>
                <w:rFonts w:hint="eastAsia" w:ascii="宋体" w:hAnsi="宋体" w:eastAsia="宋体" w:cs="宋体"/>
                <w:sz w:val="24"/>
                <w:szCs w:val="24"/>
                <w:lang w:val="en-US" w:eastAsia="zh-CN"/>
              </w:rPr>
              <w:t>课程</w:t>
            </w:r>
            <w:r>
              <w:rPr>
                <w:rFonts w:hint="eastAsia" w:ascii="宋体" w:hAnsi="宋体" w:eastAsia="宋体" w:cs="宋体"/>
                <w:sz w:val="24"/>
                <w:szCs w:val="24"/>
              </w:rPr>
              <w:t>资源成功案例，</w:t>
            </w:r>
            <w:r>
              <w:rPr>
                <w:rFonts w:hint="eastAsia" w:ascii="宋体" w:hAnsi="宋体" w:eastAsia="宋体" w:cs="宋体"/>
                <w:sz w:val="24"/>
                <w:szCs w:val="24"/>
                <w:lang w:val="en-US" w:eastAsia="zh-CN"/>
              </w:rPr>
              <w:t>每提供1个得2分，最多得5分</w:t>
            </w:r>
            <w:r>
              <w:rPr>
                <w:rFonts w:hint="eastAsia" w:ascii="宋体" w:hAnsi="宋体" w:eastAsia="宋体" w:cs="宋体"/>
                <w:sz w:val="24"/>
                <w:szCs w:val="24"/>
              </w:rPr>
              <w:t>，其他计0分（提供合同关键页复印件并加盖公章）。</w:t>
            </w:r>
          </w:p>
        </w:tc>
      </w:tr>
      <w:tr w14:paraId="2FA8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6" w:type="dxa"/>
            <w:vMerge w:val="continue"/>
            <w:vAlign w:val="center"/>
          </w:tcPr>
          <w:p w14:paraId="1C98E20D">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ascii="宋体" w:hAnsi="宋体" w:eastAsia="宋体" w:cs="宋体"/>
                <w:sz w:val="24"/>
                <w:szCs w:val="24"/>
              </w:rPr>
            </w:pPr>
          </w:p>
        </w:tc>
        <w:tc>
          <w:tcPr>
            <w:tcW w:w="1686" w:type="dxa"/>
            <w:vAlign w:val="center"/>
          </w:tcPr>
          <w:p w14:paraId="5B52B7A7">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售后</w:t>
            </w:r>
            <w:r>
              <w:rPr>
                <w:rFonts w:hint="eastAsia" w:ascii="宋体" w:hAnsi="宋体" w:eastAsia="宋体" w:cs="宋体"/>
                <w:sz w:val="24"/>
                <w:szCs w:val="24"/>
                <w:lang w:val="en-US" w:eastAsia="zh-CN"/>
              </w:rPr>
              <w:t>服务方案</w:t>
            </w:r>
          </w:p>
        </w:tc>
        <w:tc>
          <w:tcPr>
            <w:tcW w:w="728" w:type="dxa"/>
            <w:vAlign w:val="center"/>
          </w:tcPr>
          <w:p w14:paraId="71703E91">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462" w:type="dxa"/>
            <w:vAlign w:val="center"/>
          </w:tcPr>
          <w:p w14:paraId="77CEE10F">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由评委根据供应商响应文件中售后服务承诺书内容的完整性、可行性、到达故障现场时间、故障出现解决方案、定期维护（注明时间）、免费技术培训方案、保修期外维修方案、本地化售后服务措施、其他优惠措施等方面进行打分。</w:t>
            </w:r>
          </w:p>
          <w:p w14:paraId="5B6D8179">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一档</w:t>
            </w:r>
            <w:r>
              <w:rPr>
                <w:rFonts w:hint="eastAsia" w:ascii="宋体" w:hAnsi="宋体" w:eastAsia="宋体" w:cs="宋体"/>
                <w:sz w:val="24"/>
                <w:szCs w:val="24"/>
                <w:lang w:val="en-US" w:eastAsia="zh-CN"/>
              </w:rPr>
              <w:t>8</w:t>
            </w:r>
            <w:r>
              <w:rPr>
                <w:rFonts w:hint="eastAsia" w:ascii="宋体" w:hAnsi="宋体" w:eastAsia="宋体" w:cs="宋体"/>
                <w:sz w:val="24"/>
                <w:szCs w:val="24"/>
              </w:rPr>
              <w:t>分：供应商所提供的售后服务方案，方案包含有项目售后维护和应急保障措施，方案可行。售后服务响应时间、维修人员到达时间以及维修时间基本满足文件要求。</w:t>
            </w:r>
          </w:p>
          <w:p w14:paraId="14C45DAD">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二档</w:t>
            </w:r>
            <w:r>
              <w:rPr>
                <w:rFonts w:hint="eastAsia" w:ascii="宋体" w:hAnsi="宋体" w:eastAsia="宋体" w:cs="宋体"/>
                <w:sz w:val="24"/>
                <w:szCs w:val="24"/>
                <w:lang w:val="en-US" w:eastAsia="zh-CN"/>
              </w:rPr>
              <w:t>13</w:t>
            </w:r>
            <w:r>
              <w:rPr>
                <w:rFonts w:hint="eastAsia" w:ascii="宋体" w:hAnsi="宋体" w:eastAsia="宋体" w:cs="宋体"/>
                <w:sz w:val="24"/>
                <w:szCs w:val="24"/>
              </w:rPr>
              <w:t>分：供应商所提供的售后服务方案，方案包含有项目售后维护、应急保障措施等，且描述了项目售后维护和应急保障方案的方法以及实现方式，方案可行较详细。售后服务响应时间、维修人员到达时间以及维修时间完全满足文件要求。</w:t>
            </w:r>
          </w:p>
          <w:p w14:paraId="1AB3E398">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三档</w:t>
            </w:r>
            <w:r>
              <w:rPr>
                <w:rFonts w:hint="eastAsia" w:ascii="宋体" w:hAnsi="宋体" w:eastAsia="宋体" w:cs="宋体"/>
                <w:sz w:val="24"/>
                <w:szCs w:val="24"/>
                <w:lang w:val="en-US" w:eastAsia="zh-CN"/>
              </w:rPr>
              <w:t>20</w:t>
            </w:r>
            <w:r>
              <w:rPr>
                <w:rFonts w:hint="eastAsia" w:ascii="宋体" w:hAnsi="宋体" w:eastAsia="宋体" w:cs="宋体"/>
                <w:sz w:val="24"/>
                <w:szCs w:val="24"/>
              </w:rPr>
              <w:t>分：供应商所提供的售后服务方案，方案包含有项目售后维护、应急保障措施且描述了项目售后维护和应急保障方案的方法以及实现方式，服务承诺和保障措施考虑周全完整详细。售后服务响应时间、维修人员到达时间以及维修时间优于文件要求。</w:t>
            </w:r>
          </w:p>
        </w:tc>
      </w:tr>
      <w:tr w14:paraId="4EC2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592" w:type="dxa"/>
            <w:gridSpan w:val="2"/>
            <w:vAlign w:val="center"/>
          </w:tcPr>
          <w:p w14:paraId="3480F945">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总 分</w:t>
            </w:r>
          </w:p>
        </w:tc>
        <w:tc>
          <w:tcPr>
            <w:tcW w:w="728" w:type="dxa"/>
            <w:vAlign w:val="center"/>
          </w:tcPr>
          <w:p w14:paraId="778ACD67">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100</w:t>
            </w:r>
          </w:p>
        </w:tc>
        <w:tc>
          <w:tcPr>
            <w:tcW w:w="6462" w:type="dxa"/>
            <w:vAlign w:val="center"/>
          </w:tcPr>
          <w:p w14:paraId="2DFD702D">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sz w:val="24"/>
                <w:szCs w:val="24"/>
              </w:rPr>
            </w:pPr>
          </w:p>
        </w:tc>
      </w:tr>
    </w:tbl>
    <w:p w14:paraId="5D7BADC8">
      <w:pPr>
        <w:widowControl/>
        <w:jc w:val="center"/>
        <w:textAlignment w:val="center"/>
        <w:rPr>
          <w:rFonts w:ascii="宋体" w:hAnsi="宋体" w:eastAsia="宋体" w:cs="宋体"/>
          <w:color w:val="000000"/>
          <w:kern w:val="0"/>
          <w:sz w:val="28"/>
          <w:szCs w:val="28"/>
          <w:lang w:bidi="ar"/>
        </w:rPr>
      </w:pPr>
    </w:p>
    <w:p w14:paraId="7C30019C"/>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5603B"/>
    <w:rsid w:val="0475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paragraph" w:styleId="3">
    <w:name w:val="Body Text"/>
    <w:basedOn w:val="1"/>
    <w:qFormat/>
    <w:uiPriority w:val="99"/>
    <w:pPr>
      <w:spacing w:line="380" w:lineRule="exac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2025-06-17T01:57:00Z</dcterms:created>
  <dc:creator>廖福振</dc:creator>
  <cp:lastModifiedBy>廖福振</cp:lastModifiedBy>
  <dcterms:modified xsi:type="dcterms:W3CDTF">2025-06-17T01:57:20Z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778C225FFE4348F899B33569A55DC619_11</vt:lpwstr>
  </property>
  <property fmtid="{D5CDD505-2E9C-101B-9397-08002B2CF9AE}" pid="4" name="KSOTemplateDocerSaveRecord">
    <vt:lpwstr>eyJoZGlkIjoiNzk4ZDRiYTY2MGZmZTcwZDBkM2Y1YTA1NzY1NTM5ZDIiLCJ1c2VySWQiOiIxNjY5MTg0OTQ3In0=</vt:lpwstr>
  </property>
</Properties>
</file>