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bCs/>
          <w:sz w:val="28"/>
          <w:szCs w:val="36"/>
        </w:rPr>
      </w:pPr>
      <w:bookmarkStart w:id="0" w:name="_GoBack"/>
      <w:bookmarkEnd w:id="0"/>
      <w:r>
        <w:rPr>
          <w:rFonts w:hint="eastAsia"/>
          <w:b/>
          <w:bCs/>
          <w:sz w:val="28"/>
          <w:szCs w:val="36"/>
        </w:rPr>
        <w:t>附件二：评标办法及评标标准</w:t>
      </w:r>
    </w:p>
    <w:p>
      <w:pPr>
        <w:spacing w:line="360" w:lineRule="auto"/>
        <w:ind w:firstLine="748" w:firstLineChars="266"/>
        <w:rPr>
          <w:b/>
          <w:sz w:val="28"/>
          <w:szCs w:val="28"/>
        </w:rPr>
      </w:pPr>
      <w:r>
        <w:rPr>
          <w:rFonts w:hint="eastAsia"/>
          <w:b/>
          <w:sz w:val="28"/>
          <w:szCs w:val="28"/>
        </w:rPr>
        <w:t>一、评标办法</w:t>
      </w:r>
    </w:p>
    <w:p>
      <w:pPr>
        <w:spacing w:line="360" w:lineRule="auto"/>
        <w:ind w:firstLine="480" w:firstLineChars="200"/>
        <w:rPr>
          <w:rFonts w:hint="eastAsia"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评审小组对供应商的报价、技术等方面内容按百分制打分。（计分方法按四舍五入取至百分位）</w:t>
      </w:r>
    </w:p>
    <w:p>
      <w:pPr>
        <w:spacing w:line="360" w:lineRule="auto"/>
        <w:ind w:firstLine="748" w:firstLineChars="266"/>
        <w:rPr>
          <w:rFonts w:hint="eastAsia"/>
          <w:b/>
          <w:sz w:val="28"/>
          <w:szCs w:val="28"/>
        </w:rPr>
      </w:pPr>
      <w:r>
        <w:rPr>
          <w:rFonts w:hint="eastAsia"/>
          <w:b/>
          <w:sz w:val="28"/>
          <w:szCs w:val="28"/>
          <w:lang w:eastAsia="zh-CN"/>
        </w:rPr>
        <w:t>二、</w:t>
      </w:r>
      <w:r>
        <w:rPr>
          <w:rFonts w:hint="eastAsia"/>
          <w:b/>
          <w:sz w:val="28"/>
          <w:szCs w:val="28"/>
          <w:lang w:val="en-US" w:eastAsia="zh-CN"/>
        </w:rPr>
        <w:t>评审标准</w:t>
      </w:r>
    </w:p>
    <w:tbl>
      <w:tblPr>
        <w:tblStyle w:val="13"/>
        <w:tblpPr w:leftFromText="181" w:rightFromText="181" w:vertAnchor="text" w:horzAnchor="page" w:tblpX="1373" w:tblpY="171"/>
        <w:tblOverlap w:val="never"/>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945"/>
        <w:gridCol w:w="5767"/>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5" w:type="dxa"/>
            <w:noWrap w:val="0"/>
            <w:vAlign w:val="center"/>
          </w:tcPr>
          <w:p>
            <w:pPr>
              <w:widowControl/>
              <w:spacing w:line="360" w:lineRule="auto"/>
              <w:jc w:val="center"/>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1945" w:type="dxa"/>
            <w:noWrap w:val="0"/>
            <w:vAlign w:val="center"/>
          </w:tcPr>
          <w:p>
            <w:pPr>
              <w:widowControl/>
              <w:spacing w:line="360" w:lineRule="auto"/>
              <w:jc w:val="center"/>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评审因素</w:t>
            </w:r>
          </w:p>
        </w:tc>
        <w:tc>
          <w:tcPr>
            <w:tcW w:w="5767" w:type="dxa"/>
            <w:noWrap w:val="0"/>
            <w:vAlign w:val="center"/>
          </w:tcPr>
          <w:p>
            <w:pPr>
              <w:widowControl/>
              <w:spacing w:line="360" w:lineRule="auto"/>
              <w:jc w:val="center"/>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评审因素具体内容</w:t>
            </w:r>
          </w:p>
        </w:tc>
        <w:tc>
          <w:tcPr>
            <w:tcW w:w="845" w:type="dxa"/>
            <w:noWrap w:val="0"/>
            <w:vAlign w:val="center"/>
          </w:tcPr>
          <w:p>
            <w:pPr>
              <w:widowControl/>
              <w:spacing w:line="360" w:lineRule="auto"/>
              <w:jc w:val="center"/>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5" w:type="dxa"/>
            <w:noWrap w:val="0"/>
            <w:vAlign w:val="center"/>
          </w:tcPr>
          <w:p>
            <w:pPr>
              <w:widowControl/>
              <w:spacing w:line="360" w:lineRule="auto"/>
              <w:jc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945" w:type="dxa"/>
            <w:noWrap w:val="0"/>
            <w:vAlign w:val="center"/>
          </w:tcPr>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w:t>
            </w:r>
          </w:p>
        </w:tc>
        <w:tc>
          <w:tcPr>
            <w:tcW w:w="5767" w:type="dxa"/>
            <w:noWrap w:val="0"/>
            <w:vAlign w:val="top"/>
          </w:tcPr>
          <w:p>
            <w:pPr>
              <w:spacing w:line="360" w:lineRule="auto"/>
              <w:ind w:firstLine="480" w:firstLineChars="200"/>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1.最终成交人的成交金额等于竞标报价。</w:t>
            </w:r>
          </w:p>
          <w:p>
            <w:pPr>
              <w:spacing w:line="360" w:lineRule="auto"/>
              <w:ind w:firstLine="480" w:firstLineChars="200"/>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2.以进入比较与评价环节的最低的</w:t>
            </w:r>
            <w:r>
              <w:rPr>
                <w:rFonts w:hint="eastAsia" w:ascii="仿宋" w:hAnsi="仿宋" w:eastAsia="仿宋" w:cs="仿宋"/>
                <w:color w:val="000000"/>
                <w:sz w:val="24"/>
                <w:szCs w:val="24"/>
                <w:highlight w:val="none"/>
                <w:lang w:eastAsia="zh-CN"/>
              </w:rPr>
              <w:t>竞标</w:t>
            </w:r>
            <w:r>
              <w:rPr>
                <w:rFonts w:hint="eastAsia" w:ascii="仿宋" w:hAnsi="仿宋" w:eastAsia="仿宋" w:cs="仿宋"/>
                <w:color w:val="000000"/>
                <w:sz w:val="24"/>
                <w:szCs w:val="24"/>
                <w:highlight w:val="none"/>
              </w:rPr>
              <w:t>报价为基准价，基准价得分为</w:t>
            </w: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rPr>
              <w:t>分。</w:t>
            </w:r>
          </w:p>
          <w:p>
            <w:pPr>
              <w:spacing w:line="360" w:lineRule="auto"/>
              <w:ind w:firstLine="480" w:firstLineChars="200"/>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3.价格分计算公式：报价得分=（基准价/最后报价）×</w:t>
            </w: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rPr>
              <w:t>分。</w:t>
            </w:r>
          </w:p>
        </w:tc>
        <w:tc>
          <w:tcPr>
            <w:tcW w:w="845" w:type="dxa"/>
            <w:noWrap w:val="0"/>
            <w:vAlign w:val="center"/>
          </w:tcPr>
          <w:p>
            <w:pPr>
              <w:widowControl/>
              <w:spacing w:line="360" w:lineRule="auto"/>
              <w:jc w:val="center"/>
              <w:outlineLvl w:val="9"/>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15</w:t>
            </w:r>
            <w:r>
              <w:rPr>
                <w:rFonts w:hint="eastAsia" w:ascii="仿宋" w:hAnsi="仿宋" w:eastAsia="仿宋" w:cs="仿宋"/>
                <w:color w:val="000000"/>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5" w:type="dxa"/>
            <w:noWrap w:val="0"/>
            <w:vAlign w:val="center"/>
          </w:tcPr>
          <w:p>
            <w:pPr>
              <w:widowControl/>
              <w:spacing w:line="360" w:lineRule="auto"/>
              <w:jc w:val="center"/>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w:t>
            </w:r>
          </w:p>
        </w:tc>
        <w:tc>
          <w:tcPr>
            <w:tcW w:w="1945" w:type="dxa"/>
            <w:noWrap w:val="0"/>
            <w:vAlign w:val="center"/>
          </w:tcPr>
          <w:p>
            <w:pPr>
              <w:widowControl/>
              <w:spacing w:line="360" w:lineRule="auto"/>
              <w:jc w:val="center"/>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技术分</w:t>
            </w:r>
          </w:p>
        </w:tc>
        <w:tc>
          <w:tcPr>
            <w:tcW w:w="5767" w:type="dxa"/>
            <w:noWrap w:val="0"/>
            <w:vAlign w:val="top"/>
          </w:tcPr>
          <w:p>
            <w:pPr>
              <w:widowControl/>
              <w:spacing w:line="360" w:lineRule="auto"/>
              <w:ind w:firstLine="482" w:firstLineChars="200"/>
              <w:jc w:val="center"/>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845" w:type="dxa"/>
            <w:noWrap w:val="0"/>
            <w:vAlign w:val="top"/>
          </w:tcPr>
          <w:p>
            <w:pPr>
              <w:widowControl/>
              <w:spacing w:line="360" w:lineRule="auto"/>
              <w:jc w:val="center"/>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05" w:type="dxa"/>
            <w:noWrap w:val="0"/>
            <w:vAlign w:val="center"/>
          </w:tcPr>
          <w:p>
            <w:pPr>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1945" w:type="dxa"/>
            <w:noWrap w:val="0"/>
            <w:vAlign w:val="center"/>
          </w:tcPr>
          <w:p>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项目实施方案</w:t>
            </w:r>
          </w:p>
        </w:tc>
        <w:tc>
          <w:tcPr>
            <w:tcW w:w="5767" w:type="dxa"/>
            <w:noWrap w:val="0"/>
            <w:vAlign w:val="center"/>
          </w:tcPr>
          <w:p>
            <w:pPr>
              <w:adjustRightIn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一档（</w:t>
            </w: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分）：对项目理解一般，实施方案简单，有项目执行组织措施、项目执行保障措施，思路、规划等基本满足建设要求，基本满足采购文件要求；</w:t>
            </w:r>
          </w:p>
          <w:p>
            <w:pPr>
              <w:adjustRightInd/>
              <w:spacing w:line="360" w:lineRule="auto"/>
              <w:ind w:firstLine="480" w:firstLineChars="200"/>
              <w:textAlignment w:val="auto"/>
              <w:outlineLvl w:val="9"/>
              <w:rPr>
                <w:rFonts w:hint="default" w:ascii="仿宋" w:hAnsi="仿宋" w:eastAsia="仿宋" w:cs="仿宋"/>
                <w:color w:val="000000"/>
                <w:sz w:val="24"/>
                <w:szCs w:val="24"/>
                <w:highlight w:val="none"/>
              </w:rPr>
            </w:pPr>
            <w:r>
              <w:rPr>
                <w:rFonts w:hint="eastAsia" w:ascii="仿宋" w:hAnsi="仿宋" w:eastAsia="仿宋" w:cs="仿宋"/>
                <w:color w:val="000000"/>
                <w:sz w:val="24"/>
                <w:szCs w:val="24"/>
                <w:highlight w:val="none"/>
              </w:rPr>
              <w:t>二档（</w:t>
            </w:r>
            <w:r>
              <w:rPr>
                <w:rFonts w:hint="eastAsia" w:ascii="仿宋" w:hAnsi="仿宋" w:eastAsia="仿宋" w:cs="仿宋"/>
                <w:color w:val="000000"/>
                <w:sz w:val="24"/>
                <w:szCs w:val="24"/>
                <w:highlight w:val="none"/>
                <w:lang w:val="en-US" w:eastAsia="zh-CN"/>
              </w:rPr>
              <w:t>20</w:t>
            </w:r>
            <w:r>
              <w:rPr>
                <w:rFonts w:hint="eastAsia" w:ascii="仿宋" w:hAnsi="仿宋" w:eastAsia="仿宋" w:cs="仿宋"/>
                <w:color w:val="000000"/>
                <w:sz w:val="24"/>
                <w:szCs w:val="24"/>
                <w:highlight w:val="none"/>
              </w:rPr>
              <w:t>分）：对项目理解较到位，实施方案较详细，合理可行，思路、规划等满足建设要求，思路清晰、突出，建设规划符合</w:t>
            </w:r>
            <w:r>
              <w:rPr>
                <w:rFonts w:hint="eastAsia" w:ascii="仿宋" w:hAnsi="仿宋" w:eastAsia="仿宋" w:cs="仿宋"/>
                <w:color w:val="000000"/>
                <w:sz w:val="24"/>
                <w:szCs w:val="24"/>
                <w:highlight w:val="none"/>
                <w:lang w:val="en-US" w:eastAsia="zh-CN"/>
              </w:rPr>
              <w:t>课项目</w:t>
            </w:r>
            <w:r>
              <w:rPr>
                <w:rFonts w:hint="eastAsia" w:ascii="仿宋" w:hAnsi="仿宋" w:eastAsia="仿宋" w:cs="仿宋"/>
                <w:color w:val="000000"/>
                <w:sz w:val="24"/>
                <w:szCs w:val="24"/>
                <w:highlight w:val="none"/>
              </w:rPr>
              <w:t>要求，项目执行组织措施、执行保障措施详细可行，方案资料齐全，能满足项目实施要求</w:t>
            </w:r>
            <w:r>
              <w:rPr>
                <w:rFonts w:hint="default" w:ascii="仿宋" w:hAnsi="仿宋" w:eastAsia="仿宋" w:cs="仿宋"/>
                <w:color w:val="000000"/>
                <w:sz w:val="24"/>
                <w:szCs w:val="24"/>
                <w:highlight w:val="none"/>
              </w:rPr>
              <w:t>。</w:t>
            </w:r>
          </w:p>
          <w:p>
            <w:pPr>
              <w:widowControl/>
              <w:spacing w:line="360" w:lineRule="auto"/>
              <w:ind w:firstLine="480" w:firstLineChars="200"/>
              <w:outlineLvl w:val="9"/>
              <w:rPr>
                <w:rFonts w:hint="eastAsia" w:ascii="仿宋" w:hAnsi="仿宋" w:eastAsia="仿宋" w:cs="仿宋"/>
                <w:color w:val="000000"/>
                <w:sz w:val="24"/>
                <w:szCs w:val="24"/>
                <w:highlight w:val="none"/>
                <w:lang w:eastAsia="zh-CN"/>
              </w:rPr>
            </w:pPr>
            <w:r>
              <w:rPr>
                <w:rFonts w:hint="eastAsia" w:ascii="仿宋" w:hAnsi="仿宋" w:eastAsia="仿宋" w:cs="仿宋"/>
                <w:b w:val="0"/>
                <w:bCs w:val="0"/>
                <w:smallCaps/>
                <w:color w:val="000000"/>
                <w:kern w:val="2"/>
                <w:sz w:val="24"/>
                <w:szCs w:val="24"/>
                <w:highlight w:val="none"/>
                <w:lang w:val="en-US" w:eastAsia="zh-CN" w:bidi="ar-SA"/>
              </w:rPr>
              <w:t>三档（30分）：对项目理解到位（配备不少于2名具备自治区级层次教师教学能力比赛领域的专家，</w:t>
            </w:r>
            <w:r>
              <w:rPr>
                <w:rFonts w:hint="eastAsia" w:ascii="仿宋" w:hAnsi="仿宋" w:eastAsia="仿宋" w:cs="仿宋"/>
                <w:sz w:val="24"/>
                <w:szCs w:val="24"/>
                <w:lang w:val="en-US" w:eastAsia="zh-CN"/>
              </w:rPr>
              <w:t>须</w:t>
            </w:r>
            <w:r>
              <w:rPr>
                <w:rFonts w:hint="eastAsia" w:ascii="仿宋" w:hAnsi="仿宋" w:eastAsia="仿宋" w:cs="仿宋"/>
                <w:b w:val="0"/>
                <w:bCs w:val="0"/>
                <w:smallCaps/>
                <w:color w:val="000000"/>
                <w:kern w:val="2"/>
                <w:sz w:val="24"/>
                <w:szCs w:val="24"/>
                <w:highlight w:val="none"/>
                <w:lang w:val="en-US" w:eastAsia="zh-CN" w:bidi="ar-SA"/>
              </w:rPr>
              <w:t>提供专家作为自治区级专家的相关证明材料），实施方案详细有针对性，合理可行，思路、规划、内容思路清晰，精准把握项目需求，符合建设需求。组织机构健全，详细说明各个阶段工作安排及实施进度，实施人员配备完备，项目执行组织措施、项目执行保障措施详细可行，方案资料齐全、实施组织方案完善，具有针对性。</w:t>
            </w:r>
          </w:p>
          <w:p>
            <w:pPr>
              <w:widowControl/>
              <w:spacing w:line="360" w:lineRule="auto"/>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lang w:eastAsia="zh-CN"/>
              </w:rPr>
              <w:t>注：未提供或不满足一档要求的不得分。</w:t>
            </w:r>
          </w:p>
        </w:tc>
        <w:tc>
          <w:tcPr>
            <w:tcW w:w="845" w:type="dxa"/>
            <w:noWrap w:val="0"/>
            <w:vAlign w:val="center"/>
          </w:tcPr>
          <w:p>
            <w:pPr>
              <w:spacing w:line="360" w:lineRule="auto"/>
              <w:jc w:val="center"/>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05" w:type="dxa"/>
            <w:noWrap w:val="0"/>
            <w:vAlign w:val="center"/>
          </w:tcPr>
          <w:p>
            <w:pPr>
              <w:spacing w:line="360" w:lineRule="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p>
        </w:tc>
        <w:tc>
          <w:tcPr>
            <w:tcW w:w="1945" w:type="dxa"/>
            <w:noWrap w:val="0"/>
            <w:vAlign w:val="center"/>
          </w:tcPr>
          <w:p>
            <w:pPr>
              <w:spacing w:line="360" w:lineRule="auto"/>
              <w:jc w:val="center"/>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kern w:val="0"/>
                <w:sz w:val="24"/>
                <w:szCs w:val="24"/>
                <w:highlight w:val="none"/>
                <w:lang w:eastAsia="zh-CN"/>
              </w:rPr>
              <w:t>项目服务保障分</w:t>
            </w:r>
          </w:p>
        </w:tc>
        <w:tc>
          <w:tcPr>
            <w:tcW w:w="5767" w:type="dxa"/>
            <w:noWrap w:val="0"/>
            <w:vAlign w:val="center"/>
          </w:tcPr>
          <w:p>
            <w:pPr>
              <w:spacing w:line="360" w:lineRule="auto"/>
              <w:ind w:firstLine="480" w:firstLineChars="200"/>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供</w:t>
            </w:r>
            <w:r>
              <w:rPr>
                <w:rFonts w:hint="eastAsia" w:ascii="仿宋" w:hAnsi="仿宋" w:eastAsia="仿宋" w:cs="仿宋"/>
                <w:color w:val="000000"/>
                <w:sz w:val="24"/>
                <w:szCs w:val="24"/>
                <w:highlight w:val="none"/>
                <w:lang w:val="en-US" w:eastAsia="zh-CN"/>
              </w:rPr>
              <w:t>应商拟投入本项目配备人员具备丰富的项目服务团队经验，团队成员应具备2020年1月1日至响应文件递交截止时间指导过广西区内高职院校申报获得省级及以上</w:t>
            </w:r>
            <w:r>
              <w:rPr>
                <w:rFonts w:hint="eastAsia" w:ascii="仿宋" w:hAnsi="仿宋" w:eastAsia="仿宋" w:cs="仿宋"/>
                <w:b w:val="0"/>
                <w:bCs w:val="0"/>
                <w:smallCaps/>
                <w:color w:val="000000"/>
                <w:kern w:val="2"/>
                <w:sz w:val="24"/>
                <w:szCs w:val="24"/>
                <w:highlight w:val="none"/>
                <w:lang w:val="en-US" w:eastAsia="zh-CN" w:bidi="ar-SA"/>
              </w:rPr>
              <w:t>教师教学能力比赛</w:t>
            </w:r>
            <w:r>
              <w:rPr>
                <w:rFonts w:hint="eastAsia" w:ascii="仿宋" w:hAnsi="仿宋" w:eastAsia="仿宋" w:cs="仿宋"/>
                <w:color w:val="000000"/>
                <w:sz w:val="24"/>
                <w:szCs w:val="24"/>
                <w:highlight w:val="none"/>
                <w:lang w:val="en-US" w:eastAsia="zh-CN"/>
              </w:rPr>
              <w:t>的经验；每指导广西区内职业院校获得1个省级</w:t>
            </w:r>
            <w:r>
              <w:rPr>
                <w:rFonts w:hint="eastAsia" w:ascii="仿宋" w:hAnsi="仿宋" w:eastAsia="仿宋" w:cs="仿宋"/>
                <w:b w:val="0"/>
                <w:bCs w:val="0"/>
                <w:smallCaps/>
                <w:color w:val="000000"/>
                <w:kern w:val="2"/>
                <w:sz w:val="24"/>
                <w:szCs w:val="24"/>
                <w:highlight w:val="none"/>
                <w:lang w:val="en-US" w:eastAsia="zh-CN" w:bidi="ar-SA"/>
              </w:rPr>
              <w:t>教师教学能力比赛</w:t>
            </w:r>
            <w:r>
              <w:rPr>
                <w:rFonts w:hint="eastAsia" w:ascii="仿宋" w:hAnsi="仿宋" w:eastAsia="仿宋" w:cs="仿宋"/>
                <w:color w:val="000000"/>
                <w:sz w:val="24"/>
                <w:szCs w:val="24"/>
                <w:highlight w:val="none"/>
                <w:lang w:val="en-US" w:eastAsia="zh-CN"/>
              </w:rPr>
              <w:t>得5分，满分10分。</w:t>
            </w:r>
          </w:p>
          <w:p>
            <w:pPr>
              <w:spacing w:line="360" w:lineRule="auto"/>
              <w:ind w:firstLine="480" w:firstLineChars="200"/>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注：响应文件须提供以下证明材料（缺一不得分）</w:t>
            </w:r>
          </w:p>
          <w:p>
            <w:pPr>
              <w:spacing w:line="360" w:lineRule="auto"/>
              <w:ind w:firstLine="480" w:firstLineChars="200"/>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（1）学校出具的团队成员指导证明；</w:t>
            </w:r>
          </w:p>
          <w:p>
            <w:pPr>
              <w:spacing w:line="360" w:lineRule="auto"/>
              <w:ind w:firstLine="480" w:firstLineChars="200"/>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（2）指导学校修改的申报书等自治区级教师教学能力比赛申报的相关材料。</w:t>
            </w:r>
          </w:p>
          <w:p>
            <w:pPr>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（3）指导证明中</w:t>
            </w:r>
            <w:r>
              <w:rPr>
                <w:rFonts w:hint="eastAsia" w:ascii="仿宋" w:hAnsi="仿宋" w:eastAsia="仿宋" w:cs="仿宋"/>
                <w:sz w:val="24"/>
                <w:szCs w:val="24"/>
                <w:lang w:val="en-US" w:eastAsia="zh-CN"/>
              </w:rPr>
              <w:t>须</w:t>
            </w:r>
            <w:r>
              <w:rPr>
                <w:rFonts w:hint="eastAsia" w:ascii="仿宋" w:hAnsi="仿宋" w:eastAsia="仿宋" w:cs="仿宋"/>
                <w:color w:val="000000"/>
                <w:sz w:val="24"/>
                <w:szCs w:val="24"/>
                <w:highlight w:val="none"/>
                <w:lang w:val="en-US" w:eastAsia="zh-CN"/>
              </w:rPr>
              <w:t>配备学校联系人联系方式，方便核实。</w:t>
            </w:r>
          </w:p>
        </w:tc>
        <w:tc>
          <w:tcPr>
            <w:tcW w:w="845" w:type="dxa"/>
            <w:noWrap w:val="0"/>
            <w:vAlign w:val="center"/>
          </w:tcPr>
          <w:p>
            <w:pPr>
              <w:spacing w:line="360" w:lineRule="auto"/>
              <w:jc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05" w:type="dxa"/>
            <w:noWrap w:val="0"/>
            <w:vAlign w:val="center"/>
          </w:tcPr>
          <w:p>
            <w:pPr>
              <w:spacing w:line="360" w:lineRule="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p>
        </w:tc>
        <w:tc>
          <w:tcPr>
            <w:tcW w:w="1945" w:type="dxa"/>
            <w:noWrap w:val="0"/>
            <w:vAlign w:val="center"/>
          </w:tcPr>
          <w:p>
            <w:pPr>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000000"/>
                <w:kern w:val="0"/>
                <w:sz w:val="24"/>
                <w:szCs w:val="24"/>
                <w:highlight w:val="none"/>
              </w:rPr>
              <w:t>培训师资及管理团队分</w:t>
            </w:r>
          </w:p>
        </w:tc>
        <w:tc>
          <w:tcPr>
            <w:tcW w:w="5767" w:type="dxa"/>
            <w:noWrap w:val="0"/>
            <w:vAlign w:val="center"/>
          </w:tcPr>
          <w:p>
            <w:pPr>
              <w:spacing w:line="360" w:lineRule="auto"/>
              <w:ind w:firstLine="480" w:firstLineChars="200"/>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响应文件中未提供培训师资及管理团队内容或提供的资料不满足一档的得0分。</w:t>
            </w:r>
          </w:p>
          <w:p>
            <w:pPr>
              <w:spacing w:line="360" w:lineRule="auto"/>
              <w:ind w:firstLine="480" w:firstLineChars="200"/>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一档（10分）：按培训项目设置要求配备培训专家团队，组建管理团队。有服务团队和首席专家的详细介绍；首席专家具有副高职称专家。</w:t>
            </w:r>
          </w:p>
          <w:p>
            <w:pPr>
              <w:spacing w:line="360" w:lineRule="auto"/>
              <w:ind w:firstLine="480" w:firstLineChars="200"/>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二档（15分）：在满足一档的基础上，培训专家团队结构合理，服务团队分工明确，培训组织管理计划措施具体可行。服务团队主要领导和分管领导参与培训管理，组成人员合理；首席专家具有正高职称专家。</w:t>
            </w:r>
          </w:p>
          <w:p>
            <w:pPr>
              <w:spacing w:line="360" w:lineRule="auto"/>
              <w:ind w:firstLine="480" w:firstLineChars="200"/>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三档（20分）：在满足二档的基础上，培训专家团队结构合理、水平高（</w:t>
            </w:r>
            <w:r>
              <w:rPr>
                <w:rFonts w:hint="eastAsia" w:ascii="仿宋" w:hAnsi="仿宋" w:eastAsia="仿宋" w:cs="仿宋"/>
                <w:sz w:val="24"/>
                <w:szCs w:val="24"/>
                <w:lang w:val="en-US" w:eastAsia="zh-CN"/>
              </w:rPr>
              <w:t>须</w:t>
            </w:r>
            <w:r>
              <w:rPr>
                <w:rFonts w:hint="eastAsia" w:ascii="仿宋" w:hAnsi="仿宋" w:eastAsia="仿宋" w:cs="仿宋"/>
                <w:color w:val="000000"/>
                <w:sz w:val="24"/>
                <w:szCs w:val="24"/>
                <w:highlight w:val="none"/>
                <w:lang w:val="en-US" w:eastAsia="zh-CN"/>
              </w:rPr>
              <w:t>提供团队专家的指导成果，团队人员</w:t>
            </w:r>
            <w:r>
              <w:rPr>
                <w:rFonts w:hint="eastAsia" w:ascii="仿宋" w:hAnsi="仿宋" w:eastAsia="仿宋" w:cs="仿宋"/>
                <w:sz w:val="24"/>
                <w:szCs w:val="24"/>
                <w:lang w:val="en-US" w:eastAsia="zh-CN"/>
              </w:rPr>
              <w:t>须</w:t>
            </w:r>
            <w:r>
              <w:rPr>
                <w:rFonts w:hint="eastAsia" w:ascii="仿宋" w:hAnsi="仿宋" w:eastAsia="仿宋" w:cs="仿宋"/>
                <w:color w:val="000000"/>
                <w:sz w:val="24"/>
                <w:szCs w:val="24"/>
                <w:highlight w:val="none"/>
                <w:lang w:val="en-US" w:eastAsia="zh-CN"/>
              </w:rPr>
              <w:t>具备指导过国家级教师教学能力比赛的相关经验，并配备相应指导证明），有高校专家、各学科的专家等；服务团队分工明确、经验丰富，培训组织管理计划周详、操作性强。服务团队主要领导和分管领导参与培训管理，组成人员合理、分工明确、精干高效、富有经验</w:t>
            </w:r>
            <w:r>
              <w:rPr>
                <w:rFonts w:hint="default"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首席专家为具有正高职称专家。</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highlight w:val="none"/>
                <w:lang w:val="en-US" w:eastAsia="zh-CN"/>
              </w:rPr>
              <w:t>注：响应文件中必须提供以上拟投入人员的相关证书复印件，如培训专家为外聘的，请提供聘用合同复印件，否则不得分。</w:t>
            </w:r>
          </w:p>
        </w:tc>
        <w:tc>
          <w:tcPr>
            <w:tcW w:w="845" w:type="dxa"/>
            <w:noWrap w:val="0"/>
            <w:vAlign w:val="center"/>
          </w:tcPr>
          <w:p>
            <w:pPr>
              <w:spacing w:line="360" w:lineRule="auto"/>
              <w:jc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05" w:type="dxa"/>
            <w:noWrap w:val="0"/>
            <w:vAlign w:val="center"/>
          </w:tcPr>
          <w:p>
            <w:pPr>
              <w:spacing w:line="360" w:lineRule="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1945" w:type="dxa"/>
            <w:noWrap w:val="0"/>
            <w:vAlign w:val="center"/>
          </w:tcPr>
          <w:p>
            <w:pPr>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业绩分</w:t>
            </w:r>
          </w:p>
        </w:tc>
        <w:tc>
          <w:tcPr>
            <w:tcW w:w="5767" w:type="dxa"/>
            <w:noWrap w:val="0"/>
            <w:vAlign w:val="center"/>
          </w:tcPr>
          <w:p>
            <w:pPr>
              <w:pStyle w:val="31"/>
              <w:spacing w:line="360" w:lineRule="auto"/>
              <w:ind w:firstLine="480" w:firstLineChars="200"/>
              <w:textAlignment w:val="auto"/>
              <w:outlineLvl w:val="9"/>
              <w:rPr>
                <w:rStyle w:val="32"/>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供应商自</w:t>
            </w:r>
            <w:r>
              <w:rPr>
                <w:rFonts w:hint="eastAsia" w:ascii="仿宋" w:hAnsi="仿宋" w:eastAsia="仿宋" w:cs="仿宋"/>
                <w:color w:val="000000"/>
                <w:sz w:val="24"/>
                <w:szCs w:val="24"/>
                <w:highlight w:val="none"/>
                <w:lang w:val="en-US" w:eastAsia="zh-CN"/>
              </w:rPr>
              <w:t>2020年1月1日至响应文件递交截止时间</w:t>
            </w:r>
            <w:r>
              <w:rPr>
                <w:rFonts w:hint="eastAsia" w:ascii="仿宋" w:hAnsi="仿宋" w:eastAsia="仿宋" w:cs="仿宋"/>
                <w:sz w:val="24"/>
                <w:szCs w:val="24"/>
                <w:highlight w:val="none"/>
                <w:lang w:val="en-US" w:eastAsia="zh-CN"/>
              </w:rPr>
              <w:t>，</w:t>
            </w:r>
            <w:r>
              <w:rPr>
                <w:rFonts w:hint="eastAsia" w:ascii="仿宋" w:hAnsi="仿宋" w:eastAsia="仿宋" w:cs="仿宋"/>
                <w:kern w:val="2"/>
                <w:sz w:val="24"/>
                <w:szCs w:val="24"/>
                <w:highlight w:val="none"/>
                <w:lang w:val="en-US" w:eastAsia="zh-CN" w:bidi="ar-SA"/>
              </w:rPr>
              <w:t>有相关的教师教学能力大赛整体服务工作经验，</w:t>
            </w:r>
            <w:r>
              <w:rPr>
                <w:rFonts w:hint="eastAsia" w:ascii="仿宋" w:hAnsi="仿宋" w:eastAsia="仿宋" w:cs="仿宋"/>
                <w:sz w:val="24"/>
                <w:szCs w:val="24"/>
                <w:lang w:val="en-US" w:eastAsia="zh-CN"/>
              </w:rPr>
              <w:t>须</w:t>
            </w:r>
            <w:r>
              <w:rPr>
                <w:rFonts w:hint="eastAsia" w:ascii="仿宋" w:hAnsi="仿宋" w:eastAsia="仿宋" w:cs="仿宋"/>
                <w:kern w:val="2"/>
                <w:sz w:val="24"/>
                <w:szCs w:val="24"/>
                <w:highlight w:val="none"/>
                <w:lang w:val="en-US" w:eastAsia="zh-CN" w:bidi="ar-SA"/>
              </w:rPr>
              <w:t>提供为广西职业院校提供指导教师教学能力大赛的类似业绩，每提供1份合同或中标/成交通知书，得5分，满分15分。</w:t>
            </w:r>
          </w:p>
        </w:tc>
        <w:tc>
          <w:tcPr>
            <w:tcW w:w="845" w:type="dxa"/>
            <w:noWrap w:val="0"/>
            <w:vAlign w:val="center"/>
          </w:tcPr>
          <w:p>
            <w:pPr>
              <w:spacing w:line="360" w:lineRule="auto"/>
              <w:jc w:val="center"/>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362" w:type="dxa"/>
            <w:gridSpan w:val="4"/>
            <w:noWrap w:val="0"/>
            <w:vAlign w:val="top"/>
          </w:tcPr>
          <w:p>
            <w:pPr>
              <w:widowControl/>
              <w:spacing w:line="360" w:lineRule="auto"/>
              <w:jc w:val="left"/>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b/>
                <w:color w:val="auto"/>
                <w:sz w:val="24"/>
                <w:szCs w:val="24"/>
                <w:highlight w:val="none"/>
              </w:rPr>
              <w:t>总得分＝1</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+3</w:t>
            </w:r>
          </w:p>
        </w:tc>
      </w:tr>
    </w:tbl>
    <w:p>
      <w:pPr>
        <w:spacing w:line="360" w:lineRule="auto"/>
        <w:rPr>
          <w:rFonts w:hint="eastAsia" w:asciiTheme="minorEastAsia" w:hAnsiTheme="minorEastAsia" w:cstheme="minorEastAsia"/>
          <w:color w:val="000000" w:themeColor="text1"/>
          <w:sz w:val="24"/>
          <w14:textFill>
            <w14:solidFill>
              <w14:schemeClr w14:val="tx1"/>
            </w14:solidFill>
          </w14:textFill>
        </w:rPr>
      </w:pPr>
    </w:p>
    <w:p>
      <w:pPr>
        <w:spacing w:line="360" w:lineRule="auto"/>
        <w:ind w:firstLine="748" w:firstLineChars="266"/>
        <w:rPr>
          <w:b/>
          <w:sz w:val="28"/>
          <w:szCs w:val="28"/>
        </w:rPr>
      </w:pPr>
      <w:r>
        <w:rPr>
          <w:rFonts w:hint="eastAsia"/>
          <w:b/>
          <w:sz w:val="28"/>
          <w:szCs w:val="28"/>
        </w:rPr>
        <w:t>三、成交候选人推荐原则</w:t>
      </w:r>
    </w:p>
    <w:p>
      <w:pPr>
        <w:spacing w:line="360" w:lineRule="auto"/>
        <w:ind w:firstLine="480" w:firstLineChars="200"/>
        <w:rPr>
          <w:rFonts w:hint="eastAsia"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本项目评审小组将按照得分由高到低顺序排列推荐成交候选供应商。得分相同的，按响应报价由低到高顺序排序，最后报价相同的，按实施方案优劣顺序排列。根据评审小组推荐的成交候选人，由采购单位按顺序根据有关规定书面确定成交供应商。排名第一的成交候选人为第一成交供应商，排名第一的成交候选人放弃成交、因不可抗力提出不能履行合同，或者采购文件规定应当提交质量保证金而在规定的期限内未能提交的，采购单位可以确定排名第二的成交候选人为成交供应商。排名第二的成交候选人因前款规定的同样原因不能签订合同的，招标采购单位可以确定排名第三的成交候选人为成交供应商，其余以此类推。</w:t>
      </w:r>
    </w:p>
    <w:p>
      <w:pPr>
        <w:spacing w:line="360" w:lineRule="auto"/>
        <w:ind w:firstLine="585" w:firstLineChars="266"/>
        <w:rPr>
          <w:rFonts w:ascii="宋体" w:hAnsi="宋体" w:eastAsia="宋体" w:cs="宋体"/>
          <w:color w:val="000000"/>
          <w:kern w:val="0"/>
          <w:sz w:val="22"/>
          <w:szCs w:val="22"/>
          <w:lang w:bidi="ar"/>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Ђ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ZDRiYTY2MGZmZTcwZDBkM2Y1YTA1NzY1NTM5ZDIifQ=="/>
  </w:docVars>
  <w:rsids>
    <w:rsidRoot w:val="36DF2765"/>
    <w:rsid w:val="00030D83"/>
    <w:rsid w:val="000566FF"/>
    <w:rsid w:val="00075729"/>
    <w:rsid w:val="000831B4"/>
    <w:rsid w:val="0009298D"/>
    <w:rsid w:val="000D67E3"/>
    <w:rsid w:val="000E7226"/>
    <w:rsid w:val="00127672"/>
    <w:rsid w:val="00135476"/>
    <w:rsid w:val="001552EC"/>
    <w:rsid w:val="001C17BD"/>
    <w:rsid w:val="002447BB"/>
    <w:rsid w:val="002738E9"/>
    <w:rsid w:val="00287716"/>
    <w:rsid w:val="002D3633"/>
    <w:rsid w:val="002F3A5C"/>
    <w:rsid w:val="00366605"/>
    <w:rsid w:val="00374754"/>
    <w:rsid w:val="003A21D6"/>
    <w:rsid w:val="003E21E6"/>
    <w:rsid w:val="00491FF7"/>
    <w:rsid w:val="004951F0"/>
    <w:rsid w:val="004A00AB"/>
    <w:rsid w:val="004A18AD"/>
    <w:rsid w:val="005800DB"/>
    <w:rsid w:val="005D2317"/>
    <w:rsid w:val="005F51F8"/>
    <w:rsid w:val="00682529"/>
    <w:rsid w:val="00692E46"/>
    <w:rsid w:val="006A7B40"/>
    <w:rsid w:val="006B1CB3"/>
    <w:rsid w:val="006C6FA2"/>
    <w:rsid w:val="00715FED"/>
    <w:rsid w:val="00722735"/>
    <w:rsid w:val="00722E6A"/>
    <w:rsid w:val="007508EE"/>
    <w:rsid w:val="007A5602"/>
    <w:rsid w:val="007D3D2C"/>
    <w:rsid w:val="007F277C"/>
    <w:rsid w:val="00834309"/>
    <w:rsid w:val="0083778C"/>
    <w:rsid w:val="00846133"/>
    <w:rsid w:val="00852062"/>
    <w:rsid w:val="00885006"/>
    <w:rsid w:val="008B78C2"/>
    <w:rsid w:val="008D3962"/>
    <w:rsid w:val="008D6A01"/>
    <w:rsid w:val="009041E0"/>
    <w:rsid w:val="00951C3A"/>
    <w:rsid w:val="009C456F"/>
    <w:rsid w:val="009E797D"/>
    <w:rsid w:val="00A628D5"/>
    <w:rsid w:val="00A90960"/>
    <w:rsid w:val="00A92F81"/>
    <w:rsid w:val="00AB6E48"/>
    <w:rsid w:val="00B010E4"/>
    <w:rsid w:val="00B10FE3"/>
    <w:rsid w:val="00B16210"/>
    <w:rsid w:val="00B64628"/>
    <w:rsid w:val="00BD6D51"/>
    <w:rsid w:val="00BF70F3"/>
    <w:rsid w:val="00C260F2"/>
    <w:rsid w:val="00C53E04"/>
    <w:rsid w:val="00C6208C"/>
    <w:rsid w:val="00C66043"/>
    <w:rsid w:val="00C70C9F"/>
    <w:rsid w:val="00C9730B"/>
    <w:rsid w:val="00CE1B3C"/>
    <w:rsid w:val="00CF39DF"/>
    <w:rsid w:val="00DD5ECC"/>
    <w:rsid w:val="00DE3FC7"/>
    <w:rsid w:val="00E06D8B"/>
    <w:rsid w:val="00E157FF"/>
    <w:rsid w:val="00E23582"/>
    <w:rsid w:val="00E4573D"/>
    <w:rsid w:val="00EB41FF"/>
    <w:rsid w:val="00F30A9B"/>
    <w:rsid w:val="00F745BA"/>
    <w:rsid w:val="00F74A57"/>
    <w:rsid w:val="00FB42ED"/>
    <w:rsid w:val="00FC13A0"/>
    <w:rsid w:val="00FF6281"/>
    <w:rsid w:val="04B213C1"/>
    <w:rsid w:val="05801B5E"/>
    <w:rsid w:val="123F5112"/>
    <w:rsid w:val="19B32B29"/>
    <w:rsid w:val="1DF148B0"/>
    <w:rsid w:val="21084A03"/>
    <w:rsid w:val="22723AE6"/>
    <w:rsid w:val="242239E6"/>
    <w:rsid w:val="2D6D1A79"/>
    <w:rsid w:val="2E3A3E82"/>
    <w:rsid w:val="333C6176"/>
    <w:rsid w:val="343246EB"/>
    <w:rsid w:val="35B75678"/>
    <w:rsid w:val="36DF2765"/>
    <w:rsid w:val="384E6460"/>
    <w:rsid w:val="39FD7407"/>
    <w:rsid w:val="3ABC7B9C"/>
    <w:rsid w:val="403A6E92"/>
    <w:rsid w:val="425F59DD"/>
    <w:rsid w:val="44095C00"/>
    <w:rsid w:val="45CC3389"/>
    <w:rsid w:val="47B440D5"/>
    <w:rsid w:val="4A484FA8"/>
    <w:rsid w:val="4BB519E5"/>
    <w:rsid w:val="4DB210B7"/>
    <w:rsid w:val="50DE3097"/>
    <w:rsid w:val="51D84D97"/>
    <w:rsid w:val="5AB67D0C"/>
    <w:rsid w:val="5E543AC4"/>
    <w:rsid w:val="5EC21E37"/>
    <w:rsid w:val="68C31AF3"/>
    <w:rsid w:val="6C303C82"/>
    <w:rsid w:val="71CC2B05"/>
    <w:rsid w:val="73F039C5"/>
    <w:rsid w:val="74B724C5"/>
    <w:rsid w:val="78F874AE"/>
    <w:rsid w:val="7DCB51F3"/>
    <w:rsid w:val="ECB885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9"/>
    <w:pPr>
      <w:keepNext/>
      <w:keepLines/>
      <w:spacing w:before="260" w:after="260" w:line="416" w:lineRule="auto"/>
      <w:outlineLvl w:val="1"/>
    </w:pPr>
    <w:rPr>
      <w:rFonts w:ascii="Cambria" w:hAnsi="Cambria"/>
      <w:b/>
      <w:bCs/>
      <w:kern w:val="0"/>
      <w:sz w:val="32"/>
      <w:szCs w:val="32"/>
    </w:rPr>
  </w:style>
  <w:style w:type="paragraph" w:styleId="3">
    <w:name w:val="heading 3"/>
    <w:basedOn w:val="1"/>
    <w:next w:val="1"/>
    <w:link w:val="25"/>
    <w:autoRedefine/>
    <w:semiHidden/>
    <w:unhideWhenUsed/>
    <w:qFormat/>
    <w:uiPriority w:val="0"/>
    <w:pPr>
      <w:keepNext/>
      <w:keepLines/>
      <w:spacing w:before="260" w:after="260" w:line="416" w:lineRule="auto"/>
      <w:outlineLvl w:val="2"/>
    </w:pPr>
    <w:rPr>
      <w:b/>
      <w:bCs/>
      <w:sz w:val="32"/>
      <w:szCs w:val="32"/>
    </w:rPr>
  </w:style>
  <w:style w:type="paragraph" w:styleId="4">
    <w:name w:val="heading 4"/>
    <w:basedOn w:val="1"/>
    <w:next w:val="1"/>
    <w:autoRedefine/>
    <w:semiHidden/>
    <w:unhideWhenUsed/>
    <w:qFormat/>
    <w:uiPriority w:val="0"/>
    <w:pPr>
      <w:tabs>
        <w:tab w:val="left" w:pos="1525"/>
        <w:tab w:val="left" w:pos="2155"/>
      </w:tabs>
      <w:adjustRightInd w:val="0"/>
      <w:spacing w:before="120" w:line="360" w:lineRule="auto"/>
      <w:ind w:left="2154" w:hanging="1077"/>
      <w:textAlignment w:val="baseline"/>
      <w:outlineLvl w:val="3"/>
    </w:pPr>
    <w:rPr>
      <w:rFonts w:ascii="Arial" w:hAnsi="Arial" w:eastAsia="宋体" w:cs="Times New Roman"/>
      <w:kern w:val="0"/>
      <w:sz w:val="24"/>
      <w:szCs w:val="20"/>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rPr>
      <w:rFonts w:ascii="Times New Roman" w:hAnsi="Times New Roman"/>
      <w:kern w:val="0"/>
      <w:sz w:val="20"/>
    </w:rPr>
  </w:style>
  <w:style w:type="paragraph" w:styleId="6">
    <w:name w:val="Body Text"/>
    <w:basedOn w:val="1"/>
    <w:next w:val="1"/>
    <w:link w:val="30"/>
    <w:autoRedefine/>
    <w:semiHidden/>
    <w:unhideWhenUsed/>
    <w:qFormat/>
    <w:uiPriority w:val="0"/>
    <w:pPr>
      <w:spacing w:after="120"/>
    </w:pPr>
  </w:style>
  <w:style w:type="paragraph" w:styleId="7">
    <w:name w:val="Body Text Indent"/>
    <w:basedOn w:val="1"/>
    <w:link w:val="28"/>
    <w:autoRedefine/>
    <w:semiHidden/>
    <w:unhideWhenUsed/>
    <w:qFormat/>
    <w:uiPriority w:val="0"/>
    <w:pPr>
      <w:spacing w:after="120"/>
      <w:ind w:left="420" w:leftChars="200"/>
    </w:pPr>
  </w:style>
  <w:style w:type="paragraph" w:styleId="8">
    <w:name w:val="Plain Text"/>
    <w:basedOn w:val="1"/>
    <w:next w:val="4"/>
    <w:link w:val="22"/>
    <w:autoRedefine/>
    <w:qFormat/>
    <w:uiPriority w:val="0"/>
    <w:rPr>
      <w:rFonts w:ascii="宋体" w:hAnsi="Courier New"/>
      <w:kern w:val="0"/>
      <w:sz w:val="20"/>
      <w:szCs w:val="21"/>
    </w:r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Autospacing="1" w:afterAutospacing="1"/>
      <w:jc w:val="left"/>
    </w:pPr>
    <w:rPr>
      <w:rFonts w:cs="Times New Roman"/>
      <w:kern w:val="0"/>
      <w:sz w:val="24"/>
    </w:rPr>
  </w:style>
  <w:style w:type="paragraph" w:styleId="12">
    <w:name w:val="Body Text First Indent 2"/>
    <w:basedOn w:val="7"/>
    <w:next w:val="6"/>
    <w:link w:val="29"/>
    <w:autoRedefine/>
    <w:qFormat/>
    <w:uiPriority w:val="0"/>
    <w:pPr>
      <w:spacing w:line="200" w:lineRule="exact"/>
      <w:ind w:firstLine="464" w:firstLineChars="200"/>
    </w:pPr>
    <w:rPr>
      <w:rFonts w:ascii="微软雅黑" w:hAnsi="微软雅黑" w:eastAsia="微软雅黑" w:cs="微软雅黑"/>
      <w:color w:val="FF0000"/>
      <w:spacing w:val="-4"/>
      <w:kern w:val="0"/>
      <w:sz w:val="24"/>
      <w:szCs w:val="21"/>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character" w:styleId="17">
    <w:name w:val="annotation reference"/>
    <w:autoRedefine/>
    <w:qFormat/>
    <w:uiPriority w:val="0"/>
    <w:rPr>
      <w:sz w:val="21"/>
      <w:szCs w:val="21"/>
    </w:rPr>
  </w:style>
  <w:style w:type="paragraph" w:customStyle="1" w:styleId="18">
    <w:name w:val="_Style 1"/>
    <w:basedOn w:val="1"/>
    <w:autoRedefine/>
    <w:qFormat/>
    <w:uiPriority w:val="0"/>
    <w:pPr>
      <w:ind w:firstLine="420" w:firstLineChars="200"/>
    </w:pPr>
  </w:style>
  <w:style w:type="paragraph" w:styleId="19">
    <w:name w:val="List Paragraph"/>
    <w:basedOn w:val="1"/>
    <w:qFormat/>
    <w:uiPriority w:val="34"/>
    <w:pPr>
      <w:ind w:firstLine="420" w:firstLineChars="200"/>
    </w:pPr>
  </w:style>
  <w:style w:type="character" w:customStyle="1" w:styleId="20">
    <w:name w:val="页眉 字符"/>
    <w:basedOn w:val="15"/>
    <w:link w:val="10"/>
    <w:autoRedefine/>
    <w:qFormat/>
    <w:uiPriority w:val="0"/>
    <w:rPr>
      <w:rFonts w:asciiTheme="minorHAnsi" w:hAnsiTheme="minorHAnsi" w:eastAsiaTheme="minorEastAsia" w:cstheme="minorBidi"/>
      <w:kern w:val="2"/>
      <w:sz w:val="18"/>
      <w:szCs w:val="18"/>
    </w:rPr>
  </w:style>
  <w:style w:type="character" w:customStyle="1" w:styleId="21">
    <w:name w:val="页脚 字符"/>
    <w:basedOn w:val="15"/>
    <w:link w:val="9"/>
    <w:autoRedefine/>
    <w:qFormat/>
    <w:uiPriority w:val="0"/>
    <w:rPr>
      <w:rFonts w:asciiTheme="minorHAnsi" w:hAnsiTheme="minorHAnsi" w:eastAsiaTheme="minorEastAsia" w:cstheme="minorBidi"/>
      <w:kern w:val="2"/>
      <w:sz w:val="18"/>
      <w:szCs w:val="18"/>
    </w:rPr>
  </w:style>
  <w:style w:type="character" w:customStyle="1" w:styleId="22">
    <w:name w:val="纯文本 字符"/>
    <w:link w:val="8"/>
    <w:autoRedefine/>
    <w:qFormat/>
    <w:uiPriority w:val="0"/>
    <w:rPr>
      <w:rFonts w:ascii="宋体" w:hAnsi="Courier New" w:eastAsiaTheme="minorEastAsia" w:cstheme="minorBidi"/>
      <w:szCs w:val="21"/>
    </w:rPr>
  </w:style>
  <w:style w:type="paragraph" w:customStyle="1" w:styleId="23">
    <w:name w:val="Table Paragraph"/>
    <w:basedOn w:val="1"/>
    <w:unhideWhenUsed/>
    <w:qFormat/>
    <w:uiPriority w:val="1"/>
    <w:rPr>
      <w:rFonts w:hint="eastAsia" w:ascii="Times New Roman" w:hAnsi="Times New Roman" w:eastAsia="宋体" w:cs="Times New Roman"/>
      <w:sz w:val="24"/>
    </w:rPr>
  </w:style>
  <w:style w:type="paragraph" w:customStyle="1" w:styleId="24">
    <w:name w:val="Heading4"/>
    <w:basedOn w:val="1"/>
    <w:next w:val="1"/>
    <w:autoRedefine/>
    <w:qFormat/>
    <w:uiPriority w:val="0"/>
    <w:pPr>
      <w:widowControl/>
      <w:spacing w:before="120" w:after="120" w:line="360" w:lineRule="auto"/>
      <w:ind w:firstLine="3584"/>
      <w:jc w:val="center"/>
    </w:pPr>
    <w:rPr>
      <w:rFonts w:ascii="Times New Roman" w:hAnsi="Times New Roman" w:eastAsia="宋体" w:cs="Times New Roman"/>
    </w:rPr>
  </w:style>
  <w:style w:type="character" w:customStyle="1" w:styleId="25">
    <w:name w:val="标题 3 字符"/>
    <w:basedOn w:val="15"/>
    <w:link w:val="3"/>
    <w:autoRedefine/>
    <w:semiHidden/>
    <w:qFormat/>
    <w:uiPriority w:val="0"/>
    <w:rPr>
      <w:rFonts w:asciiTheme="minorHAnsi" w:hAnsiTheme="minorHAnsi" w:eastAsiaTheme="minorEastAsia" w:cstheme="minorBidi"/>
      <w:b/>
      <w:bCs/>
      <w:kern w:val="2"/>
      <w:sz w:val="32"/>
      <w:szCs w:val="32"/>
    </w:rPr>
  </w:style>
  <w:style w:type="table" w:customStyle="1" w:styleId="26">
    <w:name w:val="网格型1"/>
    <w:basedOn w:val="13"/>
    <w:autoRedefine/>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
    <w:name w:val="网格型2"/>
    <w:basedOn w:val="13"/>
    <w:autoRedefine/>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
    <w:name w:val="正文文本缩进 字符"/>
    <w:basedOn w:val="15"/>
    <w:link w:val="7"/>
    <w:semiHidden/>
    <w:qFormat/>
    <w:uiPriority w:val="0"/>
    <w:rPr>
      <w:rFonts w:asciiTheme="minorHAnsi" w:hAnsiTheme="minorHAnsi" w:eastAsiaTheme="minorEastAsia" w:cstheme="minorBidi"/>
      <w:kern w:val="2"/>
      <w:sz w:val="21"/>
      <w:szCs w:val="24"/>
    </w:rPr>
  </w:style>
  <w:style w:type="character" w:customStyle="1" w:styleId="29">
    <w:name w:val="正文文本首行缩进 2 字符"/>
    <w:basedOn w:val="28"/>
    <w:link w:val="12"/>
    <w:autoRedefine/>
    <w:qFormat/>
    <w:uiPriority w:val="0"/>
    <w:rPr>
      <w:rFonts w:ascii="微软雅黑" w:hAnsi="微软雅黑" w:eastAsia="微软雅黑" w:cs="微软雅黑"/>
      <w:color w:val="FF0000"/>
      <w:spacing w:val="-4"/>
      <w:kern w:val="2"/>
      <w:sz w:val="24"/>
      <w:szCs w:val="21"/>
    </w:rPr>
  </w:style>
  <w:style w:type="character" w:customStyle="1" w:styleId="30">
    <w:name w:val="正文文本 字符"/>
    <w:basedOn w:val="15"/>
    <w:link w:val="6"/>
    <w:semiHidden/>
    <w:qFormat/>
    <w:uiPriority w:val="0"/>
    <w:rPr>
      <w:rFonts w:asciiTheme="minorHAnsi" w:hAnsiTheme="minorHAnsi" w:eastAsiaTheme="minorEastAsia" w:cstheme="minorBidi"/>
      <w:kern w:val="2"/>
      <w:sz w:val="21"/>
      <w:szCs w:val="24"/>
    </w:rPr>
  </w:style>
  <w:style w:type="paragraph" w:customStyle="1" w:styleId="31">
    <w:name w:val="PlainText"/>
    <w:basedOn w:val="1"/>
    <w:qFormat/>
    <w:uiPriority w:val="0"/>
    <w:pPr>
      <w:widowControl/>
      <w:textAlignment w:val="baseline"/>
    </w:pPr>
    <w:rPr>
      <w:rFonts w:ascii="宋体" w:hAnsi="Courier New"/>
      <w:szCs w:val="20"/>
    </w:rPr>
  </w:style>
  <w:style w:type="character" w:customStyle="1" w:styleId="32">
    <w:name w:val="NormalCharacter"/>
    <w:qFormat/>
    <w:uiPriority w:val="0"/>
  </w:style>
  <w:style w:type="paragraph" w:customStyle="1" w:styleId="33">
    <w:name w:val="Default"/>
    <w:qFormat/>
    <w:uiPriority w:val="0"/>
    <w:pPr>
      <w:widowControl w:val="0"/>
      <w:autoSpaceDE w:val="0"/>
      <w:autoSpaceDN w:val="0"/>
      <w:adjustRightInd w:val="0"/>
      <w:spacing w:line="360" w:lineRule="auto"/>
    </w:pPr>
    <w:rPr>
      <w:rFonts w:ascii="Courier New" w:hAnsi="Ђˎ̥" w:eastAsia="宋体" w:cs="Courier New"/>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6198</Words>
  <Characters>6590</Characters>
  <Lines>186</Lines>
  <Paragraphs>52</Paragraphs>
  <TotalTime>83</TotalTime>
  <ScaleCrop>false</ScaleCrop>
  <LinksUpToDate>false</LinksUpToDate>
  <CharactersWithSpaces>6619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2023-04-22T10:41:00Z</dcterms:created>
  <dc:creator>guai1377869453</dc:creator>
  <cp:lastModifiedBy>Administrator</cp:lastModifiedBy>
  <cp:lastPrinted>2024-11-26T06:28:00Z</cp:lastPrinted>
  <dcterms:modified xsi:type="dcterms:W3CDTF">2024-11-26T07:40:17Z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DAF85CDC713E463B89B35502DCE6403D_13</vt:lpwstr>
  </property>
</Properties>
</file>