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8"/>
          <w:szCs w:val="36"/>
        </w:rPr>
      </w:pPr>
      <w:bookmarkStart w:id="0" w:name="_GoBack"/>
      <w:r>
        <w:rPr>
          <w:rFonts w:hint="eastAsia"/>
          <w:b/>
          <w:bCs/>
          <w:sz w:val="28"/>
          <w:szCs w:val="36"/>
        </w:rPr>
        <w:t>附件二：评标办法及评标标准</w:t>
      </w:r>
    </w:p>
    <w:bookmarkEnd w:id="0"/>
    <w:p>
      <w:pPr>
        <w:spacing w:line="360" w:lineRule="auto"/>
        <w:ind w:firstLine="748" w:firstLineChars="266"/>
        <w:rPr>
          <w:b/>
          <w:sz w:val="28"/>
          <w:szCs w:val="28"/>
        </w:rPr>
      </w:pPr>
      <w:r>
        <w:rPr>
          <w:rFonts w:hint="eastAsia"/>
          <w:b/>
          <w:sz w:val="28"/>
          <w:szCs w:val="28"/>
        </w:rPr>
        <w:t>一、评标办法</w:t>
      </w:r>
    </w:p>
    <w:p>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评审小组对供应商的技术、商务等方面内容按百分制打分。（计分方法按四舍五入取至百分位）</w:t>
      </w:r>
    </w:p>
    <w:p>
      <w:pPr>
        <w:pStyle w:val="4"/>
        <w:spacing w:line="360" w:lineRule="exact"/>
        <w:ind w:firstLine="753" w:firstLineChars="268"/>
        <w:rPr>
          <w:rFonts w:hAnsi="宋体" w:cs="宋体"/>
          <w:b/>
          <w:bCs/>
          <w:sz w:val="28"/>
          <w:szCs w:val="28"/>
        </w:rPr>
      </w:pPr>
      <w:r>
        <w:rPr>
          <w:rFonts w:hint="eastAsia" w:hAnsi="宋体" w:cs="宋体"/>
          <w:b/>
          <w:bCs/>
          <w:sz w:val="28"/>
          <w:szCs w:val="28"/>
        </w:rPr>
        <w:t>二、评分标准</w:t>
      </w:r>
    </w:p>
    <w:p>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分值（权重）分配：评分总分最高为100分，</w:t>
      </w:r>
      <w:r>
        <w:rPr>
          <w:rFonts w:hint="eastAsia" w:ascii="宋体" w:hAnsi="Courier New"/>
          <w:kern w:val="0"/>
          <w:sz w:val="24"/>
        </w:rPr>
        <w:t>商务</w:t>
      </w:r>
      <w:r>
        <w:rPr>
          <w:rFonts w:hint="eastAsia" w:asciiTheme="minorEastAsia" w:hAnsiTheme="minorEastAsia" w:cstheme="minorEastAsia"/>
          <w:color w:val="000000" w:themeColor="text1"/>
          <w:sz w:val="24"/>
          <w14:textFill>
            <w14:solidFill>
              <w14:schemeClr w14:val="tx1"/>
            </w14:solidFill>
          </w14:textFill>
        </w:rPr>
        <w:t>、技术评分分值（权重）分配设置如下：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89"/>
        <w:gridCol w:w="170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97" w:type="dxa"/>
            <w:vAlign w:val="center"/>
          </w:tcPr>
          <w:p>
            <w:pPr>
              <w:spacing w:before="62" w:beforeLines="20" w:after="62" w:afterLines="20" w:line="340" w:lineRule="exact"/>
              <w:ind w:firstLine="220" w:firstLineChars="100"/>
              <w:rPr>
                <w:rFonts w:ascii="宋体" w:hAnsi="宋体" w:eastAsia="宋体" w:cs="宋体"/>
                <w:sz w:val="22"/>
                <w:szCs w:val="22"/>
              </w:rPr>
            </w:pPr>
            <w:r>
              <w:rPr>
                <w:rFonts w:hint="eastAsia" w:ascii="宋体" w:hAnsi="宋体" w:eastAsia="宋体" w:cs="宋体"/>
                <w:sz w:val="22"/>
                <w:szCs w:val="22"/>
              </w:rPr>
              <w:t>评分项目</w:t>
            </w:r>
          </w:p>
        </w:tc>
        <w:tc>
          <w:tcPr>
            <w:tcW w:w="1889"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技术</w:t>
            </w:r>
            <w:r>
              <w:rPr>
                <w:rFonts w:hint="eastAsia" w:ascii="宋体" w:hAnsi="宋体" w:eastAsia="宋体" w:cs="宋体"/>
                <w:sz w:val="22"/>
                <w:szCs w:val="22"/>
                <w:lang w:val="en-US" w:eastAsia="zh-CN"/>
              </w:rPr>
              <w:t>部</w:t>
            </w:r>
            <w:r>
              <w:rPr>
                <w:rFonts w:hint="eastAsia" w:ascii="宋体" w:hAnsi="宋体" w:eastAsia="宋体" w:cs="宋体"/>
                <w:sz w:val="22"/>
                <w:szCs w:val="22"/>
              </w:rPr>
              <w:t>分</w:t>
            </w:r>
          </w:p>
        </w:tc>
        <w:tc>
          <w:tcPr>
            <w:tcW w:w="1701"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lang w:val="en-US" w:eastAsia="zh-CN"/>
              </w:rPr>
              <w:t>商务部</w:t>
            </w:r>
            <w:r>
              <w:rPr>
                <w:rFonts w:hint="eastAsia" w:ascii="宋体" w:hAnsi="宋体" w:eastAsia="宋体" w:cs="宋体"/>
                <w:sz w:val="22"/>
                <w:szCs w:val="22"/>
              </w:rPr>
              <w:t>分</w:t>
            </w:r>
          </w:p>
        </w:tc>
        <w:tc>
          <w:tcPr>
            <w:tcW w:w="1609"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97"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权重</w:t>
            </w:r>
          </w:p>
        </w:tc>
        <w:tc>
          <w:tcPr>
            <w:tcW w:w="1889" w:type="dxa"/>
            <w:vAlign w:val="center"/>
          </w:tcPr>
          <w:p>
            <w:pPr>
              <w:spacing w:before="62" w:beforeLines="20" w:after="62" w:afterLines="20" w:line="340" w:lineRule="exact"/>
              <w:ind w:firstLine="660" w:firstLineChars="300"/>
              <w:rPr>
                <w:rFonts w:ascii="宋体" w:hAnsi="宋体" w:eastAsia="宋体" w:cs="宋体"/>
                <w:sz w:val="22"/>
                <w:szCs w:val="22"/>
              </w:rPr>
            </w:pPr>
            <w:r>
              <w:rPr>
                <w:rFonts w:hint="eastAsia" w:ascii="宋体" w:hAnsi="宋体" w:eastAsia="宋体" w:cs="宋体"/>
                <w:sz w:val="22"/>
                <w:szCs w:val="22"/>
                <w:lang w:val="en-US" w:eastAsia="zh-CN"/>
              </w:rPr>
              <w:t>90</w:t>
            </w:r>
            <w:r>
              <w:rPr>
                <w:rFonts w:hint="eastAsia" w:ascii="宋体" w:hAnsi="宋体" w:eastAsia="宋体" w:cs="宋体"/>
                <w:sz w:val="22"/>
                <w:szCs w:val="22"/>
              </w:rPr>
              <w:t>%</w:t>
            </w:r>
          </w:p>
        </w:tc>
        <w:tc>
          <w:tcPr>
            <w:tcW w:w="1701"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10%</w:t>
            </w:r>
          </w:p>
        </w:tc>
        <w:tc>
          <w:tcPr>
            <w:tcW w:w="1609"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97"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分值</w:t>
            </w:r>
          </w:p>
        </w:tc>
        <w:tc>
          <w:tcPr>
            <w:tcW w:w="1889" w:type="dxa"/>
            <w:vAlign w:val="center"/>
          </w:tcPr>
          <w:p>
            <w:pPr>
              <w:spacing w:before="62" w:beforeLines="20" w:after="62" w:afterLines="20" w:line="340" w:lineRule="exact"/>
              <w:ind w:firstLine="660" w:firstLineChars="300"/>
              <w:rPr>
                <w:rFonts w:ascii="宋体" w:hAnsi="宋体" w:eastAsia="宋体" w:cs="宋体"/>
                <w:sz w:val="22"/>
                <w:szCs w:val="22"/>
              </w:rPr>
            </w:pPr>
            <w:r>
              <w:rPr>
                <w:rFonts w:hint="eastAsia" w:ascii="宋体" w:hAnsi="宋体" w:eastAsia="宋体" w:cs="宋体"/>
                <w:sz w:val="22"/>
                <w:szCs w:val="22"/>
                <w:lang w:val="en-US" w:eastAsia="zh-CN"/>
              </w:rPr>
              <w:t>90</w:t>
            </w:r>
            <w:r>
              <w:rPr>
                <w:rFonts w:hint="eastAsia" w:ascii="宋体" w:hAnsi="宋体" w:eastAsia="宋体" w:cs="宋体"/>
                <w:sz w:val="22"/>
                <w:szCs w:val="22"/>
              </w:rPr>
              <w:t>分</w:t>
            </w:r>
          </w:p>
        </w:tc>
        <w:tc>
          <w:tcPr>
            <w:tcW w:w="1701"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10分</w:t>
            </w:r>
          </w:p>
        </w:tc>
        <w:tc>
          <w:tcPr>
            <w:tcW w:w="1609"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100分</w:t>
            </w:r>
          </w:p>
        </w:tc>
      </w:tr>
    </w:tbl>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评分方法</w:t>
      </w:r>
    </w:p>
    <w:tbl>
      <w:tblPr>
        <w:tblStyle w:val="6"/>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1"/>
        <w:gridCol w:w="888"/>
        <w:gridCol w:w="1201"/>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8" w:type="pct"/>
            <w:gridSpan w:val="2"/>
            <w:noWrap w:val="0"/>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610" w:type="pct"/>
            <w:noWrap w:val="0"/>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3531" w:type="pct"/>
            <w:noWrap w:val="0"/>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restart"/>
            <w:noWrap w:val="0"/>
            <w:vAlign w:val="center"/>
          </w:tcPr>
          <w:p>
            <w:pPr>
              <w:spacing w:line="288" w:lineRule="auto"/>
              <w:jc w:val="center"/>
              <w:rPr>
                <w:rFonts w:hint="eastAsia" w:ascii="宋体" w:hAnsi="宋体" w:eastAsia="宋体" w:cs="宋体"/>
                <w:sz w:val="24"/>
                <w:szCs w:val="24"/>
              </w:rPr>
            </w:pPr>
          </w:p>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50" w:type="pct"/>
            <w:vMerge w:val="restart"/>
            <w:noWrap w:val="0"/>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技术部分F1评分标准</w:t>
            </w:r>
          </w:p>
        </w:tc>
        <w:tc>
          <w:tcPr>
            <w:tcW w:w="610" w:type="pct"/>
            <w:vMerge w:val="restart"/>
            <w:noWrap w:val="0"/>
            <w:vAlign w:val="center"/>
          </w:tcPr>
          <w:p>
            <w:pPr>
              <w:widowControl w:val="0"/>
              <w:spacing w:line="348" w:lineRule="auto"/>
              <w:jc w:val="center"/>
              <w:rPr>
                <w:rFonts w:hint="eastAsia" w:ascii="宋体" w:hAnsi="宋体" w:eastAsia="宋体" w:cs="宋体"/>
                <w:sz w:val="24"/>
                <w:szCs w:val="24"/>
              </w:rPr>
            </w:pPr>
            <w:r>
              <w:rPr>
                <w:rFonts w:hint="eastAsia" w:ascii="宋体" w:hAnsi="宋体" w:eastAsia="宋体" w:cs="宋体"/>
                <w:sz w:val="24"/>
                <w:szCs w:val="24"/>
              </w:rPr>
              <w:t>服务方案</w:t>
            </w:r>
          </w:p>
          <w:p>
            <w:pPr>
              <w:widowControl w:val="0"/>
              <w:spacing w:line="348"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55</w:t>
            </w:r>
            <w:r>
              <w:rPr>
                <w:rFonts w:hint="eastAsia" w:ascii="宋体" w:hAnsi="宋体" w:eastAsia="宋体" w:cs="宋体"/>
                <w:sz w:val="24"/>
                <w:szCs w:val="24"/>
              </w:rPr>
              <w:t>分）</w:t>
            </w:r>
          </w:p>
        </w:tc>
        <w:tc>
          <w:tcPr>
            <w:tcW w:w="3531" w:type="pct"/>
            <w:noWrap w:val="0"/>
            <w:vAlign w:val="center"/>
          </w:tcPr>
          <w:p>
            <w:pPr>
              <w:pStyle w:val="5"/>
              <w:widowControl w:val="0"/>
              <w:spacing w:line="460" w:lineRule="exact"/>
              <w:ind w:firstLine="0" w:firstLineChars="0"/>
              <w:rPr>
                <w:rFonts w:hint="eastAsia" w:ascii="宋体" w:hAnsi="宋体" w:eastAsia="宋体" w:cs="宋体"/>
                <w:sz w:val="24"/>
                <w:szCs w:val="24"/>
              </w:rPr>
            </w:pPr>
            <w:r>
              <w:rPr>
                <w:rFonts w:hint="eastAsia" w:ascii="宋体" w:hAnsi="宋体" w:eastAsia="宋体" w:cs="宋体"/>
                <w:sz w:val="24"/>
                <w:szCs w:val="24"/>
              </w:rPr>
              <w:t>根据供应商对本项目的理解程度、针对项目基本背景、项目现状、服务目标等阐述明晰在1-6分之间进行综合评分，未提供本项不得分。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continue"/>
            <w:noWrap w:val="0"/>
            <w:vAlign w:val="center"/>
          </w:tcPr>
          <w:p>
            <w:pPr>
              <w:widowControl w:val="0"/>
              <w:spacing w:line="348" w:lineRule="auto"/>
              <w:rPr>
                <w:rFonts w:hint="eastAsia" w:ascii="宋体" w:hAnsi="宋体" w:eastAsia="宋体" w:cs="宋体"/>
                <w:sz w:val="24"/>
                <w:szCs w:val="24"/>
              </w:rPr>
            </w:pPr>
          </w:p>
        </w:tc>
        <w:tc>
          <w:tcPr>
            <w:tcW w:w="3531" w:type="pct"/>
            <w:noWrap w:val="0"/>
            <w:vAlign w:val="center"/>
          </w:tcPr>
          <w:p>
            <w:pPr>
              <w:pStyle w:val="5"/>
              <w:widowControl w:val="0"/>
              <w:spacing w:line="460" w:lineRule="exact"/>
              <w:ind w:firstLine="0" w:firstLineChars="0"/>
              <w:rPr>
                <w:rFonts w:hint="eastAsia" w:ascii="宋体" w:hAnsi="宋体" w:eastAsia="宋体" w:cs="宋体"/>
                <w:sz w:val="24"/>
                <w:szCs w:val="24"/>
              </w:rPr>
            </w:pPr>
            <w:r>
              <w:rPr>
                <w:rFonts w:hint="eastAsia" w:ascii="宋体" w:hAnsi="宋体" w:eastAsia="宋体" w:cs="宋体"/>
                <w:sz w:val="24"/>
                <w:szCs w:val="24"/>
              </w:rPr>
              <w:t>根据供应商对本项目认证工作的整体思路是否清晰、完整在 1-6 分之间进行综合评分，未提供本项不得分。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continue"/>
            <w:noWrap w:val="0"/>
            <w:vAlign w:val="center"/>
          </w:tcPr>
          <w:p>
            <w:pPr>
              <w:widowControl w:val="0"/>
              <w:spacing w:line="348" w:lineRule="auto"/>
              <w:rPr>
                <w:rFonts w:hint="eastAsia" w:ascii="宋体" w:hAnsi="宋体" w:eastAsia="宋体" w:cs="宋体"/>
                <w:sz w:val="24"/>
                <w:szCs w:val="24"/>
              </w:rPr>
            </w:pPr>
          </w:p>
        </w:tc>
        <w:tc>
          <w:tcPr>
            <w:tcW w:w="3531" w:type="pct"/>
            <w:noWrap w:val="0"/>
            <w:vAlign w:val="center"/>
          </w:tcPr>
          <w:p>
            <w:pPr>
              <w:pStyle w:val="5"/>
              <w:widowControl w:val="0"/>
              <w:spacing w:line="460" w:lineRule="exact"/>
              <w:ind w:firstLine="0" w:firstLineChars="0"/>
              <w:rPr>
                <w:rFonts w:hint="eastAsia" w:ascii="宋体" w:hAnsi="宋体" w:eastAsia="宋体" w:cs="宋体"/>
                <w:sz w:val="24"/>
                <w:szCs w:val="24"/>
              </w:rPr>
            </w:pPr>
            <w:r>
              <w:rPr>
                <w:rFonts w:hint="eastAsia" w:ascii="宋体" w:hAnsi="宋体" w:eastAsia="宋体" w:cs="宋体"/>
                <w:sz w:val="24"/>
                <w:szCs w:val="24"/>
              </w:rPr>
              <w:t>根据供应商响应文件中其他服务实施方案（组织实施方案、工作进度保证、工作标准与要求等）的合理性、科学性、完整性等情况评审得1-9分，未提供本项不得分。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continue"/>
            <w:noWrap w:val="0"/>
            <w:vAlign w:val="center"/>
          </w:tcPr>
          <w:p>
            <w:pPr>
              <w:widowControl w:val="0"/>
              <w:spacing w:line="348" w:lineRule="auto"/>
              <w:rPr>
                <w:rFonts w:hint="eastAsia" w:ascii="宋体" w:hAnsi="宋体" w:eastAsia="宋体" w:cs="宋体"/>
                <w:sz w:val="24"/>
                <w:szCs w:val="24"/>
              </w:rPr>
            </w:pPr>
          </w:p>
        </w:tc>
        <w:tc>
          <w:tcPr>
            <w:tcW w:w="3531" w:type="pct"/>
            <w:noWrap w:val="0"/>
            <w:vAlign w:val="center"/>
          </w:tcPr>
          <w:p>
            <w:pPr>
              <w:spacing w:line="288" w:lineRule="auto"/>
              <w:rPr>
                <w:rFonts w:hint="eastAsia" w:ascii="宋体" w:hAnsi="宋体" w:eastAsia="宋体" w:cs="宋体"/>
                <w:sz w:val="24"/>
                <w:szCs w:val="24"/>
              </w:rPr>
            </w:pPr>
            <w:r>
              <w:rPr>
                <w:rFonts w:hint="eastAsia" w:ascii="宋体" w:hAnsi="宋体" w:eastAsia="宋体" w:cs="宋体"/>
                <w:sz w:val="24"/>
                <w:szCs w:val="24"/>
              </w:rPr>
              <w:t>评标委员会根据供应商的服务及质量保障措施（服务标准，服务质量保证措施等）的合理性、科学性、完整性等情况评审得1-6分，未提供本项不得分。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continue"/>
            <w:noWrap w:val="0"/>
            <w:vAlign w:val="center"/>
          </w:tcPr>
          <w:p>
            <w:pPr>
              <w:widowControl w:val="0"/>
              <w:spacing w:line="348" w:lineRule="auto"/>
              <w:rPr>
                <w:rFonts w:hint="eastAsia" w:ascii="宋体" w:hAnsi="宋体" w:eastAsia="宋体" w:cs="宋体"/>
                <w:sz w:val="24"/>
                <w:szCs w:val="24"/>
              </w:rPr>
            </w:pPr>
          </w:p>
        </w:tc>
        <w:tc>
          <w:tcPr>
            <w:tcW w:w="3531" w:type="pct"/>
            <w:noWrap w:val="0"/>
            <w:vAlign w:val="top"/>
          </w:tcPr>
          <w:p>
            <w:pPr>
              <w:spacing w:line="288" w:lineRule="auto"/>
              <w:rPr>
                <w:rFonts w:hint="eastAsia" w:ascii="宋体" w:hAnsi="宋体" w:eastAsia="宋体" w:cs="宋体"/>
                <w:sz w:val="24"/>
                <w:szCs w:val="24"/>
              </w:rPr>
            </w:pPr>
            <w:r>
              <w:rPr>
                <w:rFonts w:hint="eastAsia" w:ascii="宋体" w:hAnsi="宋体" w:eastAsia="宋体" w:cs="宋体"/>
                <w:sz w:val="24"/>
                <w:szCs w:val="24"/>
              </w:rPr>
              <w:t>针对本项目与采购人之间的组织协调方式，提供相应的工作预案，能及时、有效、稳妥的协调处理过程中遇到的问题。评标委员会成员根据此项内容描述在1-6分进行综合打分，未提供本项不得分。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continue"/>
            <w:noWrap w:val="0"/>
            <w:vAlign w:val="center"/>
          </w:tcPr>
          <w:p>
            <w:pPr>
              <w:widowControl w:val="0"/>
              <w:spacing w:line="348" w:lineRule="auto"/>
              <w:rPr>
                <w:rFonts w:hint="eastAsia" w:ascii="宋体" w:hAnsi="宋体" w:eastAsia="宋体" w:cs="宋体"/>
                <w:sz w:val="24"/>
                <w:szCs w:val="24"/>
              </w:rPr>
            </w:pPr>
          </w:p>
        </w:tc>
        <w:tc>
          <w:tcPr>
            <w:tcW w:w="3531" w:type="pct"/>
            <w:noWrap w:val="0"/>
            <w:vAlign w:val="top"/>
          </w:tcPr>
          <w:p>
            <w:pPr>
              <w:spacing w:line="288" w:lineRule="auto"/>
              <w:rPr>
                <w:rFonts w:hint="eastAsia" w:ascii="宋体" w:hAnsi="宋体" w:eastAsia="宋体" w:cs="宋体"/>
                <w:sz w:val="24"/>
                <w:szCs w:val="24"/>
              </w:rPr>
            </w:pPr>
            <w:r>
              <w:rPr>
                <w:rFonts w:hint="eastAsia" w:ascii="宋体" w:hAnsi="宋体" w:eastAsia="宋体" w:cs="宋体"/>
                <w:sz w:val="24"/>
                <w:szCs w:val="24"/>
              </w:rPr>
              <w:t>针对本项目突发状况的应急预案：方案切实可行，可操作性强，评标委员会成员根据此项内容描述在1-6分进行综合打分，缺项不得分。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continue"/>
            <w:noWrap w:val="0"/>
            <w:vAlign w:val="center"/>
          </w:tcPr>
          <w:p>
            <w:pPr>
              <w:widowControl w:val="0"/>
              <w:spacing w:line="348" w:lineRule="auto"/>
              <w:rPr>
                <w:rFonts w:hint="eastAsia" w:ascii="宋体" w:hAnsi="宋体" w:eastAsia="宋体" w:cs="宋体"/>
                <w:color w:val="000000"/>
                <w:sz w:val="24"/>
                <w:szCs w:val="24"/>
              </w:rPr>
            </w:pPr>
          </w:p>
        </w:tc>
        <w:tc>
          <w:tcPr>
            <w:tcW w:w="3531" w:type="pct"/>
            <w:noWrap w:val="0"/>
            <w:vAlign w:val="top"/>
          </w:tcPr>
          <w:p>
            <w:pPr>
              <w:spacing w:line="288" w:lineRule="auto"/>
              <w:rPr>
                <w:rFonts w:hint="eastAsia" w:ascii="宋体" w:hAnsi="宋体" w:eastAsia="宋体" w:cs="宋体"/>
                <w:sz w:val="24"/>
                <w:szCs w:val="24"/>
              </w:rPr>
            </w:pPr>
            <w:r>
              <w:rPr>
                <w:rFonts w:hint="eastAsia" w:ascii="宋体" w:hAnsi="宋体" w:eastAsia="宋体" w:cs="宋体"/>
                <w:sz w:val="24"/>
                <w:szCs w:val="24"/>
              </w:rPr>
              <w:t>评标委员会根据供应商提供的档案管理制度、人员培训制度等情况进行评审得1-6分，未提供本项不得分。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continue"/>
            <w:noWrap w:val="0"/>
            <w:vAlign w:val="center"/>
          </w:tcPr>
          <w:p>
            <w:pPr>
              <w:widowControl w:val="0"/>
              <w:spacing w:line="348" w:lineRule="auto"/>
              <w:rPr>
                <w:rFonts w:hint="eastAsia" w:ascii="宋体" w:hAnsi="宋体" w:eastAsia="宋体" w:cs="宋体"/>
                <w:color w:val="000000"/>
                <w:sz w:val="24"/>
                <w:szCs w:val="24"/>
              </w:rPr>
            </w:pPr>
          </w:p>
        </w:tc>
        <w:tc>
          <w:tcPr>
            <w:tcW w:w="3531" w:type="pct"/>
            <w:noWrap w:val="0"/>
            <w:vAlign w:val="top"/>
          </w:tcPr>
          <w:p>
            <w:pPr>
              <w:spacing w:line="288" w:lineRule="auto"/>
              <w:rPr>
                <w:rFonts w:hint="eastAsia" w:ascii="宋体" w:hAnsi="宋体" w:eastAsia="宋体" w:cs="宋体"/>
                <w:sz w:val="24"/>
                <w:szCs w:val="24"/>
              </w:rPr>
            </w:pPr>
            <w:r>
              <w:rPr>
                <w:rFonts w:hint="eastAsia" w:ascii="宋体" w:hAnsi="宋体" w:eastAsia="宋体" w:cs="宋体"/>
                <w:sz w:val="24"/>
                <w:szCs w:val="24"/>
              </w:rPr>
              <w:t>根据供应商提供的安全及保密控制方案合理、科学、全面、详尽程度进行比较，由评委在1-5分之间独立评价，缺项不得分。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continue"/>
            <w:noWrap w:val="0"/>
            <w:vAlign w:val="center"/>
          </w:tcPr>
          <w:p>
            <w:pPr>
              <w:widowControl w:val="0"/>
              <w:spacing w:line="348" w:lineRule="auto"/>
              <w:rPr>
                <w:rFonts w:hint="eastAsia" w:ascii="宋体" w:hAnsi="宋体" w:eastAsia="宋体" w:cs="宋体"/>
                <w:sz w:val="24"/>
                <w:szCs w:val="24"/>
              </w:rPr>
            </w:pPr>
          </w:p>
        </w:tc>
        <w:tc>
          <w:tcPr>
            <w:tcW w:w="3531" w:type="pct"/>
            <w:noWrap w:val="0"/>
            <w:vAlign w:val="top"/>
          </w:tcPr>
          <w:p>
            <w:pPr>
              <w:spacing w:line="288" w:lineRule="auto"/>
              <w:rPr>
                <w:rFonts w:hint="eastAsia" w:ascii="宋体" w:hAnsi="宋体" w:eastAsia="宋体" w:cs="宋体"/>
                <w:sz w:val="24"/>
                <w:szCs w:val="24"/>
              </w:rPr>
            </w:pPr>
            <w:r>
              <w:rPr>
                <w:rFonts w:hint="eastAsia" w:ascii="宋体" w:hAnsi="宋体" w:eastAsia="宋体" w:cs="宋体"/>
                <w:sz w:val="24"/>
                <w:szCs w:val="24"/>
              </w:rPr>
              <w:t>根据供应商对本项目实施过程中可能存在的重点、难点分析的全面性及应对措施的可行性进行比较，由评委在1-5分之间独立评价，缺项不得分。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restart"/>
            <w:noWrap w:val="0"/>
            <w:vAlign w:val="center"/>
          </w:tcPr>
          <w:p>
            <w:pPr>
              <w:widowControl w:val="0"/>
              <w:spacing w:line="348" w:lineRule="auto"/>
              <w:jc w:val="center"/>
              <w:rPr>
                <w:rFonts w:hint="eastAsia" w:ascii="宋体" w:hAnsi="宋体" w:eastAsia="宋体" w:cs="宋体"/>
                <w:sz w:val="24"/>
                <w:szCs w:val="24"/>
              </w:rPr>
            </w:pPr>
            <w:r>
              <w:rPr>
                <w:rFonts w:hint="eastAsia" w:ascii="宋体" w:hAnsi="宋体" w:eastAsia="宋体" w:cs="宋体"/>
                <w:sz w:val="24"/>
                <w:szCs w:val="24"/>
              </w:rPr>
              <w:t>人员配备</w:t>
            </w:r>
          </w:p>
          <w:p>
            <w:pPr>
              <w:widowControl w:val="0"/>
              <w:spacing w:line="348"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3531" w:type="pct"/>
            <w:noWrap w:val="0"/>
            <w:vAlign w:val="center"/>
          </w:tcPr>
          <w:p>
            <w:pPr>
              <w:spacing w:line="288" w:lineRule="auto"/>
              <w:rPr>
                <w:rFonts w:hint="eastAsia" w:ascii="宋体" w:hAnsi="宋体" w:eastAsia="宋体" w:cs="宋体"/>
                <w:sz w:val="24"/>
                <w:szCs w:val="24"/>
              </w:rPr>
            </w:pPr>
            <w:r>
              <w:rPr>
                <w:rFonts w:hint="eastAsia" w:ascii="宋体" w:hAnsi="宋体" w:eastAsia="宋体" w:cs="宋体"/>
                <w:sz w:val="24"/>
                <w:szCs w:val="24"/>
              </w:rPr>
              <w:t>根据项目团队成员配置的数量、专业人员素质、服务经验、技术能力、持证上岗情况，评标委员会成员根据此项内容描述在1-5分进行综合打分，缺项不得分。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vMerge w:val="continue"/>
            <w:noWrap w:val="0"/>
            <w:vAlign w:val="center"/>
          </w:tcPr>
          <w:p>
            <w:pPr>
              <w:widowControl w:val="0"/>
              <w:spacing w:line="348" w:lineRule="auto"/>
              <w:rPr>
                <w:rFonts w:hint="eastAsia" w:ascii="宋体" w:hAnsi="宋体" w:eastAsia="宋体" w:cs="宋体"/>
                <w:color w:val="000000"/>
                <w:sz w:val="24"/>
                <w:szCs w:val="24"/>
              </w:rPr>
            </w:pPr>
          </w:p>
        </w:tc>
        <w:tc>
          <w:tcPr>
            <w:tcW w:w="3531" w:type="pct"/>
            <w:noWrap w:val="0"/>
            <w:vAlign w:val="center"/>
          </w:tcPr>
          <w:p>
            <w:pPr>
              <w:spacing w:line="288" w:lineRule="auto"/>
              <w:rPr>
                <w:rFonts w:hint="eastAsia" w:ascii="宋体" w:hAnsi="宋体" w:eastAsia="宋体" w:cs="宋体"/>
                <w:sz w:val="24"/>
                <w:szCs w:val="24"/>
              </w:rPr>
            </w:pPr>
            <w:r>
              <w:rPr>
                <w:rFonts w:hint="eastAsia" w:ascii="宋体" w:hAnsi="宋体" w:eastAsia="宋体" w:cs="宋体"/>
                <w:sz w:val="24"/>
                <w:szCs w:val="24"/>
              </w:rPr>
              <w:t>供应商对团队人员是否具有科学合理、符合实际的考核或激励办法，评标委员会成员根据此项内容描述在1-5分进行综合打分，缺项不得分。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noWrap w:val="0"/>
            <w:vAlign w:val="center"/>
          </w:tcPr>
          <w:p>
            <w:pPr>
              <w:spacing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越南官方认证（合作协议）</w:t>
            </w:r>
          </w:p>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（15分）</w:t>
            </w:r>
          </w:p>
        </w:tc>
        <w:tc>
          <w:tcPr>
            <w:tcW w:w="3531" w:type="pct"/>
            <w:noWrap w:val="0"/>
            <w:vAlign w:val="center"/>
          </w:tcPr>
          <w:p>
            <w:pPr>
              <w:spacing w:line="288" w:lineRule="auto"/>
              <w:rPr>
                <w:rFonts w:hint="eastAsia" w:ascii="宋体" w:hAnsi="宋体" w:eastAsia="宋体" w:cs="宋体"/>
                <w:sz w:val="24"/>
                <w:szCs w:val="24"/>
                <w:highlight w:val="yellow"/>
              </w:rPr>
            </w:pPr>
            <w:r>
              <w:rPr>
                <w:rFonts w:hint="eastAsia" w:ascii="宋体" w:hAnsi="宋体" w:eastAsia="宋体" w:cs="宋体"/>
                <w:sz w:val="24"/>
                <w:szCs w:val="24"/>
              </w:rPr>
              <w:t>供应商具有</w:t>
            </w:r>
            <w:r>
              <w:rPr>
                <w:rFonts w:hint="eastAsia" w:ascii="宋体" w:hAnsi="宋体" w:eastAsia="宋体" w:cs="宋体"/>
                <w:sz w:val="24"/>
                <w:szCs w:val="24"/>
                <w:lang w:val="en-US" w:eastAsia="zh-CN"/>
              </w:rPr>
              <w:t>与</w:t>
            </w:r>
            <w:r>
              <w:rPr>
                <w:rFonts w:hint="eastAsia" w:ascii="宋体" w:hAnsi="宋体" w:eastAsia="宋体" w:cs="宋体"/>
                <w:sz w:val="24"/>
                <w:szCs w:val="24"/>
                <w:lang w:eastAsia="zh-CN"/>
              </w:rPr>
              <w:t>越南劳动荣军社会部职业教育总局职业教育科学研究院</w:t>
            </w:r>
            <w:r>
              <w:rPr>
                <w:rFonts w:hint="eastAsia" w:ascii="宋体" w:hAnsi="宋体" w:eastAsia="宋体" w:cs="宋体"/>
                <w:sz w:val="24"/>
                <w:szCs w:val="24"/>
              </w:rPr>
              <w:t>的</w:t>
            </w:r>
            <w:r>
              <w:rPr>
                <w:rFonts w:hint="eastAsia" w:ascii="宋体" w:hAnsi="宋体" w:eastAsia="宋体" w:cs="宋体"/>
                <w:sz w:val="24"/>
                <w:szCs w:val="24"/>
                <w:lang w:val="en-US" w:eastAsia="zh-CN"/>
              </w:rPr>
              <w:t>合作协议</w:t>
            </w:r>
            <w:r>
              <w:rPr>
                <w:rFonts w:hint="eastAsia" w:ascii="宋体" w:hAnsi="宋体" w:eastAsia="宋体" w:cs="宋体"/>
                <w:sz w:val="24"/>
                <w:szCs w:val="24"/>
              </w:rPr>
              <w:t>，</w:t>
            </w:r>
            <w:r>
              <w:rPr>
                <w:rFonts w:hint="eastAsia" w:ascii="宋体" w:hAnsi="宋体" w:eastAsia="宋体" w:cs="宋体"/>
                <w:sz w:val="24"/>
                <w:szCs w:val="24"/>
                <w:lang w:val="en-US" w:eastAsia="zh-CN"/>
              </w:rPr>
              <w:t>即</w:t>
            </w:r>
            <w:r>
              <w:rPr>
                <w:rFonts w:hint="eastAsia" w:ascii="宋体" w:hAnsi="宋体" w:eastAsia="宋体" w:cs="宋体"/>
                <w:sz w:val="24"/>
                <w:szCs w:val="24"/>
                <w:lang w:eastAsia="zh-CN"/>
              </w:rPr>
              <w:t>职业</w:t>
            </w:r>
            <w:r>
              <w:rPr>
                <w:rFonts w:hint="eastAsia" w:ascii="宋体" w:hAnsi="宋体" w:eastAsia="宋体" w:cs="宋体"/>
                <w:sz w:val="24"/>
                <w:szCs w:val="24"/>
              </w:rPr>
              <w:t>标准项目可得到越南官方的认证，此项即得15分，否则不得分。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vMerge w:val="continue"/>
            <w:noWrap w:val="0"/>
            <w:vAlign w:val="center"/>
          </w:tcPr>
          <w:p>
            <w:pPr>
              <w:spacing w:line="288" w:lineRule="auto"/>
              <w:jc w:val="center"/>
              <w:rPr>
                <w:rFonts w:hint="eastAsia" w:ascii="宋体" w:hAnsi="宋体" w:eastAsia="宋体" w:cs="宋体"/>
                <w:sz w:val="24"/>
                <w:szCs w:val="24"/>
              </w:rPr>
            </w:pPr>
          </w:p>
        </w:tc>
        <w:tc>
          <w:tcPr>
            <w:tcW w:w="450" w:type="pct"/>
            <w:vMerge w:val="continue"/>
            <w:noWrap w:val="0"/>
            <w:vAlign w:val="center"/>
          </w:tcPr>
          <w:p>
            <w:pPr>
              <w:spacing w:line="288" w:lineRule="auto"/>
              <w:jc w:val="center"/>
              <w:rPr>
                <w:rFonts w:hint="eastAsia" w:ascii="宋体" w:hAnsi="宋体" w:eastAsia="宋体" w:cs="宋体"/>
                <w:sz w:val="24"/>
                <w:szCs w:val="24"/>
              </w:rPr>
            </w:pPr>
          </w:p>
        </w:tc>
        <w:tc>
          <w:tcPr>
            <w:tcW w:w="610" w:type="pct"/>
            <w:noWrap w:val="0"/>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业绩</w:t>
            </w:r>
          </w:p>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3531" w:type="pct"/>
            <w:noWrap w:val="0"/>
            <w:vAlign w:val="center"/>
          </w:tcPr>
          <w:p>
            <w:pPr>
              <w:spacing w:line="288" w:lineRule="auto"/>
              <w:rPr>
                <w:rFonts w:hint="eastAsia" w:ascii="宋体" w:hAnsi="宋体" w:eastAsia="宋体" w:cs="宋体"/>
                <w:sz w:val="24"/>
                <w:szCs w:val="24"/>
              </w:rPr>
            </w:pPr>
            <w:r>
              <w:rPr>
                <w:rFonts w:hint="eastAsia" w:ascii="宋体" w:hAnsi="宋体" w:eastAsia="宋体" w:cs="宋体"/>
                <w:sz w:val="24"/>
                <w:szCs w:val="24"/>
              </w:rPr>
              <w:t>供应商近三年（2021年01月01日至投标截止日前，以合同签订时间为准，无签订时间不得分）完成类似项目的业绩，每提供一项业绩得2分，本项最高得10分。</w:t>
            </w:r>
          </w:p>
          <w:p>
            <w:pPr>
              <w:spacing w:line="288" w:lineRule="auto"/>
              <w:rPr>
                <w:rFonts w:hint="eastAsia" w:ascii="宋体" w:hAnsi="宋体" w:eastAsia="宋体" w:cs="宋体"/>
                <w:sz w:val="24"/>
                <w:szCs w:val="24"/>
              </w:rPr>
            </w:pPr>
            <w:r>
              <w:rPr>
                <w:rFonts w:hint="eastAsia" w:ascii="宋体" w:hAnsi="宋体" w:eastAsia="宋体" w:cs="宋体"/>
                <w:sz w:val="24"/>
                <w:szCs w:val="24"/>
              </w:rPr>
              <w:t>注：类似业绩须提供合同复印件加盖公章放至响应文件正副本中，否则不得分。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7" w:type="pct"/>
            <w:noWrap w:val="0"/>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50" w:type="pct"/>
            <w:noWrap w:val="0"/>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商务部分F2评分标准</w:t>
            </w:r>
          </w:p>
        </w:tc>
        <w:tc>
          <w:tcPr>
            <w:tcW w:w="610" w:type="pct"/>
            <w:noWrap w:val="0"/>
            <w:vAlign w:val="center"/>
          </w:tcPr>
          <w:p>
            <w:pPr>
              <w:pStyle w:val="2"/>
              <w:spacing w:line="288" w:lineRule="auto"/>
              <w:jc w:val="center"/>
              <w:rPr>
                <w:rFonts w:hint="eastAsia" w:ascii="宋体" w:hAnsi="宋体" w:eastAsia="宋体" w:cs="宋体"/>
                <w:sz w:val="24"/>
                <w:szCs w:val="24"/>
              </w:rPr>
            </w:pPr>
            <w:r>
              <w:rPr>
                <w:rFonts w:hint="eastAsia" w:ascii="宋体" w:hAnsi="宋体" w:eastAsia="宋体" w:cs="宋体"/>
                <w:sz w:val="24"/>
                <w:szCs w:val="24"/>
              </w:rPr>
              <w:t>投标报价</w:t>
            </w:r>
          </w:p>
          <w:p>
            <w:pPr>
              <w:pStyle w:val="2"/>
              <w:spacing w:line="288"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3531" w:type="pct"/>
            <w:noWrap w:val="0"/>
            <w:vAlign w:val="center"/>
          </w:tcPr>
          <w:p>
            <w:pPr>
              <w:spacing w:line="288" w:lineRule="auto"/>
              <w:rPr>
                <w:rFonts w:hint="eastAsia" w:ascii="宋体" w:hAnsi="宋体" w:eastAsia="宋体" w:cs="宋体"/>
                <w:sz w:val="24"/>
                <w:szCs w:val="24"/>
              </w:rPr>
            </w:pPr>
            <w:r>
              <w:rPr>
                <w:rFonts w:hint="eastAsia" w:ascii="宋体" w:hAnsi="宋体" w:eastAsia="宋体" w:cs="宋体"/>
                <w:sz w:val="24"/>
                <w:szCs w:val="24"/>
              </w:rPr>
              <w:t>价格分采用低价优先法计算，即满足招标文件要求且投标价格最低的投标报价为评标基准价，其价格分为满分。其他投标人的价格分统一按照下列公式计算：</w:t>
            </w:r>
          </w:p>
          <w:p>
            <w:pPr>
              <w:spacing w:line="288" w:lineRule="auto"/>
              <w:jc w:val="center"/>
              <w:rPr>
                <w:rFonts w:hint="eastAsia" w:ascii="宋体" w:hAnsi="宋体" w:eastAsia="宋体" w:cs="宋体"/>
                <w:sz w:val="24"/>
                <w:szCs w:val="24"/>
              </w:rPr>
            </w:pPr>
            <w:r>
              <w:rPr>
                <w:rFonts w:hint="eastAsia" w:ascii="宋体" w:hAnsi="宋体" w:eastAsia="宋体" w:cs="宋体"/>
                <w:b/>
                <w:bCs/>
                <w:sz w:val="24"/>
                <w:szCs w:val="24"/>
              </w:rPr>
              <w:t>投标报价得分=（评标基准价/投标报价）×10</w:t>
            </w:r>
          </w:p>
          <w:p>
            <w:pPr>
              <w:snapToGrid w:val="0"/>
              <w:spacing w:line="288" w:lineRule="auto"/>
              <w:rPr>
                <w:rFonts w:hint="eastAsia" w:ascii="宋体" w:hAnsi="宋体" w:eastAsia="宋体" w:cs="宋体"/>
                <w:sz w:val="24"/>
                <w:szCs w:val="24"/>
              </w:rPr>
            </w:pPr>
            <w:r>
              <w:rPr>
                <w:rFonts w:hint="eastAsia" w:ascii="宋体" w:hAnsi="宋体" w:eastAsia="宋体" w:cs="宋体"/>
                <w:sz w:val="24"/>
                <w:szCs w:val="24"/>
              </w:rPr>
              <w:t>注：按照《政府采购促进中小企业发展管理办法》（财库〔2020〕46 ）、《关于进一步加大政府采购支持中小企业力度的通知》（财库〔2022〕19号）、《财政部司法部关于政府采购支持监狱企业发展有关问题的通知》（财库[2014]68号）、《三部门联合发布关于促进残疾人就业政府采购政策的通知》（财库〔2017〕141号）规定，对符合条件的投标人（监狱企业、残疾人福利性单位视同小型、微型企业，不重复享受政府采购政策），在价格评分时给予投标报价10%的扣除，用扣除后的价格参与价格评分（即：参与价格评审的投标报价=投标报价×（1-10%）。</w:t>
            </w:r>
          </w:p>
          <w:p>
            <w:pPr>
              <w:snapToGrid w:val="0"/>
              <w:spacing w:line="288" w:lineRule="auto"/>
              <w:rPr>
                <w:rFonts w:hint="eastAsia" w:ascii="宋体" w:hAnsi="宋体" w:eastAsia="宋体" w:cs="宋体"/>
                <w:sz w:val="24"/>
                <w:szCs w:val="24"/>
              </w:rPr>
            </w:pPr>
            <w:r>
              <w:rPr>
                <w:rFonts w:hint="eastAsia" w:ascii="宋体" w:hAnsi="宋体" w:eastAsia="宋体" w:cs="宋体"/>
                <w:sz w:val="24"/>
                <w:szCs w:val="24"/>
              </w:rPr>
              <w:t>符合条件的投标人在参加政府采购活动时，应当提供本招标文件格式部分相应的声明函，并对声明的真实性负责。</w:t>
            </w:r>
          </w:p>
          <w:p>
            <w:pPr>
              <w:spacing w:line="288" w:lineRule="auto"/>
              <w:rPr>
                <w:rFonts w:hint="eastAsia" w:ascii="宋体" w:hAnsi="宋体" w:eastAsia="宋体" w:cs="宋体"/>
                <w:sz w:val="24"/>
                <w:szCs w:val="24"/>
              </w:rPr>
            </w:pPr>
            <w:r>
              <w:rPr>
                <w:rFonts w:hint="eastAsia" w:ascii="宋体" w:hAnsi="宋体" w:eastAsia="宋体" w:cs="宋体"/>
                <w:sz w:val="24"/>
                <w:szCs w:val="24"/>
              </w:rPr>
              <w:t>除上述情况外，评标报价=投标价</w:t>
            </w:r>
            <w:r>
              <w:rPr>
                <w:rFonts w:hint="eastAsia" w:ascii="宋体" w:hAnsi="宋体" w:eastAsia="宋体" w:cs="宋体"/>
                <w:bCs/>
                <w:sz w:val="24"/>
                <w:szCs w:val="24"/>
              </w:rPr>
              <w:t>。</w:t>
            </w:r>
          </w:p>
        </w:tc>
      </w:tr>
    </w:tbl>
    <w:p>
      <w:pPr>
        <w:pStyle w:val="4"/>
        <w:spacing w:line="360" w:lineRule="exact"/>
        <w:rPr>
          <w:rFonts w:hAnsi="宋体" w:cs="宋体"/>
          <w:b/>
          <w:bCs/>
          <w:sz w:val="21"/>
        </w:rPr>
      </w:pPr>
    </w:p>
    <w:p>
      <w:pPr>
        <w:spacing w:line="360" w:lineRule="auto"/>
        <w:ind w:firstLine="748" w:firstLineChars="266"/>
        <w:rPr>
          <w:b/>
          <w:sz w:val="28"/>
          <w:szCs w:val="28"/>
        </w:rPr>
      </w:pPr>
      <w:r>
        <w:rPr>
          <w:rFonts w:hint="eastAsia"/>
          <w:b/>
          <w:sz w:val="28"/>
          <w:szCs w:val="28"/>
        </w:rPr>
        <w:t>三、成交候选人推荐原则</w:t>
      </w:r>
    </w:p>
    <w:p>
      <w:pPr>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项目评审小组将按照得分由高到低顺序排列推荐成交候选供应商。得分相同的，按响应报价由低到高顺序排序，最后报价相同的，按实施方案优劣顺序排列。根据评审小组推荐的成交候选人，由采购单位按顺序根据有关规定书面确定成交供应商。排名第一的成交候选人为第一成交供应商，排名第一的成交候选人放弃成交、因不可抗力提出不能履行合同，或者采购文件规定应当提交质量保证金而在规定的期限内未能提交的，采购单位可以确定排名第二的成交候选人为成交供应商。排名第二的成交候选人因前款规定的同样原因不能签订合同的，招标采购单位可以确定排名第三的成交候选人为成交供应商，其余以此类推。</w:t>
      </w:r>
    </w:p>
    <w:p>
      <w:pPr>
        <w:spacing w:line="360" w:lineRule="auto"/>
        <w:ind w:firstLine="585" w:firstLineChars="266"/>
        <w:rPr>
          <w:rFonts w:ascii="宋体" w:hAnsi="宋体" w:eastAsia="宋体" w:cs="宋体"/>
          <w:color w:val="000000"/>
          <w:kern w:val="0"/>
          <w:sz w:val="22"/>
          <w:szCs w:val="22"/>
          <w:lang w:bidi="ar"/>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DRiYTY2MGZmZTcwZDBkM2Y1YTA1NzY1NTM5ZDIifQ=="/>
  </w:docVars>
  <w:rsids>
    <w:rsidRoot w:val="27384287"/>
    <w:rsid w:val="2738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kern w:val="0"/>
      <w:sz w:val="20"/>
    </w:rPr>
  </w:style>
  <w:style w:type="paragraph" w:styleId="3">
    <w:name w:val="Body Text"/>
    <w:basedOn w:val="1"/>
    <w:next w:val="1"/>
    <w:semiHidden/>
    <w:unhideWhenUsed/>
    <w:qFormat/>
    <w:uiPriority w:val="0"/>
    <w:pPr>
      <w:spacing w:after="120"/>
    </w:pPr>
  </w:style>
  <w:style w:type="paragraph" w:styleId="4">
    <w:name w:val="Plain Text"/>
    <w:basedOn w:val="1"/>
    <w:qFormat/>
    <w:uiPriority w:val="0"/>
    <w:rPr>
      <w:rFonts w:ascii="宋体" w:hAnsi="Courier New"/>
      <w:kern w:val="0"/>
      <w:sz w:val="20"/>
      <w:szCs w:val="21"/>
    </w:rPr>
  </w:style>
  <w:style w:type="paragraph" w:styleId="5">
    <w:name w:val="Body Text First Indent"/>
    <w:basedOn w:val="3"/>
    <w:unhideWhenUsed/>
    <w:qFormat/>
    <w:uiPriority w:val="99"/>
    <w:pPr>
      <w:ind w:firstLine="420" w:firstLineChars="100"/>
    </w:pPr>
    <w:rPr>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2024-10-08T06:49:00Z</dcterms:created>
  <dc:creator>Administrator</dc:creator>
  <cp:lastModifiedBy>Administrator</cp:lastModifiedBy>
  <dcterms:modified xsi:type="dcterms:W3CDTF">2024-10-08T06:50:19Z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E621CC6FA5DA4BB98BDB2B5D28B7B518_11</vt:lpwstr>
  </property>
</Properties>
</file>