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5" w:firstLineChars="201"/>
        <w:rPr>
          <w:b/>
          <w:bCs/>
          <w:sz w:val="28"/>
          <w:szCs w:val="36"/>
        </w:rPr>
      </w:pPr>
      <w:bookmarkStart w:id="0" w:name="_GoBack"/>
      <w:r>
        <w:rPr>
          <w:rFonts w:hint="eastAsia"/>
          <w:b/>
          <w:bCs/>
          <w:sz w:val="28"/>
          <w:szCs w:val="36"/>
        </w:rPr>
        <w:t>附件一：采购需求</w:t>
      </w:r>
    </w:p>
    <w:bookmarkEnd w:id="0"/>
    <w:p>
      <w:pPr>
        <w:numPr>
          <w:ilvl w:val="0"/>
          <w:numId w:val="1"/>
        </w:numPr>
        <w:spacing w:after="156" w:afterLines="50"/>
        <w:ind w:firstLine="562"/>
        <w:rPr>
          <w:rFonts w:hint="eastAsia" w:ascii="宋体" w:hAnsi="宋体" w:eastAsia="宋体" w:cs="宋体"/>
          <w:sz w:val="28"/>
          <w:szCs w:val="36"/>
        </w:rPr>
      </w:pPr>
      <w:r>
        <w:rPr>
          <w:rFonts w:ascii="宋体" w:hAnsi="宋体" w:cs="宋体"/>
          <w:b/>
        </w:rPr>
        <w:t xml:space="preserve"> </w:t>
      </w:r>
      <w:r>
        <w:rPr>
          <w:rFonts w:hint="eastAsia" w:asciiTheme="minorEastAsia" w:hAnsiTheme="minorEastAsia" w:cstheme="minorEastAsia"/>
          <w:b/>
          <w:sz w:val="28"/>
          <w:szCs w:val="28"/>
        </w:rPr>
        <w:t>项目参数：</w:t>
      </w:r>
    </w:p>
    <w:tbl>
      <w:tblPr>
        <w:tblStyle w:val="3"/>
        <w:tblW w:w="10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900"/>
        <w:gridCol w:w="3916"/>
        <w:gridCol w:w="705"/>
        <w:gridCol w:w="1005"/>
        <w:gridCol w:w="1080"/>
        <w:gridCol w:w="840"/>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 w:hRule="atLeast"/>
          <w:jc w:val="center"/>
        </w:trPr>
        <w:tc>
          <w:tcPr>
            <w:tcW w:w="714" w:type="dxa"/>
            <w:vAlign w:val="center"/>
          </w:tcPr>
          <w:p>
            <w:pPr>
              <w:jc w:val="center"/>
              <w:rPr>
                <w:rFonts w:hint="eastAsia" w:ascii="仿宋" w:hAnsi="仿宋" w:cs="仿宋"/>
                <w:b/>
                <w:bCs/>
                <w:sz w:val="24"/>
                <w:szCs w:val="24"/>
              </w:rPr>
            </w:pPr>
            <w:r>
              <w:rPr>
                <w:rFonts w:hint="eastAsia" w:ascii="仿宋" w:hAnsi="仿宋" w:cs="仿宋"/>
                <w:b/>
                <w:bCs/>
                <w:sz w:val="24"/>
                <w:szCs w:val="24"/>
              </w:rPr>
              <w:t>序号</w:t>
            </w:r>
          </w:p>
        </w:tc>
        <w:tc>
          <w:tcPr>
            <w:tcW w:w="900" w:type="dxa"/>
            <w:vAlign w:val="center"/>
          </w:tcPr>
          <w:p>
            <w:pPr>
              <w:jc w:val="center"/>
              <w:rPr>
                <w:rFonts w:hint="eastAsia" w:ascii="仿宋" w:hAnsi="仿宋" w:cs="仿宋"/>
                <w:b/>
                <w:bCs/>
                <w:sz w:val="24"/>
                <w:szCs w:val="24"/>
              </w:rPr>
            </w:pPr>
            <w:r>
              <w:rPr>
                <w:rFonts w:hint="eastAsia" w:ascii="仿宋" w:hAnsi="仿宋" w:cs="仿宋"/>
                <w:b/>
                <w:bCs/>
                <w:sz w:val="24"/>
                <w:szCs w:val="24"/>
              </w:rPr>
              <w:t>设备名称</w:t>
            </w:r>
          </w:p>
        </w:tc>
        <w:tc>
          <w:tcPr>
            <w:tcW w:w="3916" w:type="dxa"/>
            <w:vAlign w:val="center"/>
          </w:tcPr>
          <w:p>
            <w:pPr>
              <w:jc w:val="center"/>
              <w:rPr>
                <w:rFonts w:hint="eastAsia" w:ascii="仿宋" w:hAnsi="仿宋" w:cs="仿宋"/>
                <w:b/>
                <w:bCs/>
                <w:sz w:val="24"/>
                <w:szCs w:val="24"/>
              </w:rPr>
            </w:pPr>
            <w:r>
              <w:rPr>
                <w:rFonts w:hint="eastAsia" w:ascii="仿宋" w:hAnsi="仿宋" w:cs="仿宋"/>
                <w:b/>
                <w:bCs/>
                <w:sz w:val="24"/>
                <w:szCs w:val="24"/>
              </w:rPr>
              <w:t>技术参数</w:t>
            </w:r>
          </w:p>
        </w:tc>
        <w:tc>
          <w:tcPr>
            <w:tcW w:w="705" w:type="dxa"/>
            <w:vAlign w:val="center"/>
          </w:tcPr>
          <w:p>
            <w:pPr>
              <w:jc w:val="center"/>
              <w:rPr>
                <w:rFonts w:hint="eastAsia" w:ascii="仿宋" w:hAnsi="仿宋" w:cs="仿宋"/>
                <w:b/>
                <w:bCs/>
                <w:sz w:val="24"/>
                <w:szCs w:val="24"/>
              </w:rPr>
            </w:pPr>
            <w:r>
              <w:rPr>
                <w:rFonts w:hint="eastAsia" w:ascii="仿宋" w:hAnsi="仿宋" w:cs="仿宋"/>
                <w:b/>
                <w:bCs/>
                <w:sz w:val="24"/>
                <w:szCs w:val="24"/>
              </w:rPr>
              <w:t>数量</w:t>
            </w:r>
          </w:p>
        </w:tc>
        <w:tc>
          <w:tcPr>
            <w:tcW w:w="1005" w:type="dxa"/>
            <w:vAlign w:val="center"/>
          </w:tcPr>
          <w:p>
            <w:pPr>
              <w:jc w:val="center"/>
              <w:rPr>
                <w:rFonts w:hint="eastAsia" w:ascii="仿宋" w:hAnsi="仿宋" w:cs="仿宋"/>
                <w:b/>
                <w:bCs/>
                <w:sz w:val="24"/>
                <w:szCs w:val="24"/>
              </w:rPr>
            </w:pPr>
            <w:r>
              <w:rPr>
                <w:rFonts w:hint="eastAsia" w:ascii="仿宋" w:hAnsi="仿宋" w:cs="仿宋"/>
                <w:b/>
                <w:bCs/>
                <w:sz w:val="24"/>
                <w:szCs w:val="24"/>
              </w:rPr>
              <w:t>单价</w:t>
            </w:r>
          </w:p>
          <w:p>
            <w:pPr>
              <w:jc w:val="center"/>
              <w:rPr>
                <w:rFonts w:hint="eastAsia" w:ascii="仿宋" w:hAnsi="仿宋" w:cs="仿宋"/>
                <w:b/>
                <w:bCs/>
                <w:sz w:val="24"/>
                <w:szCs w:val="24"/>
              </w:rPr>
            </w:pPr>
            <w:r>
              <w:rPr>
                <w:rFonts w:hint="eastAsia" w:ascii="仿宋" w:hAnsi="仿宋" w:cs="仿宋"/>
                <w:b/>
                <w:bCs/>
                <w:sz w:val="24"/>
                <w:szCs w:val="24"/>
              </w:rPr>
              <w:t>(万元）</w:t>
            </w:r>
          </w:p>
        </w:tc>
        <w:tc>
          <w:tcPr>
            <w:tcW w:w="1080" w:type="dxa"/>
            <w:vAlign w:val="center"/>
          </w:tcPr>
          <w:p>
            <w:pPr>
              <w:jc w:val="center"/>
              <w:rPr>
                <w:rFonts w:hint="eastAsia" w:ascii="仿宋" w:hAnsi="仿宋" w:cs="仿宋"/>
                <w:b/>
                <w:bCs/>
                <w:sz w:val="24"/>
                <w:szCs w:val="24"/>
              </w:rPr>
            </w:pPr>
            <w:r>
              <w:rPr>
                <w:rFonts w:hint="eastAsia" w:ascii="仿宋" w:hAnsi="仿宋" w:cs="仿宋"/>
                <w:b/>
                <w:bCs/>
                <w:sz w:val="24"/>
                <w:szCs w:val="24"/>
              </w:rPr>
              <w:t>总价</w:t>
            </w:r>
          </w:p>
          <w:p>
            <w:pPr>
              <w:jc w:val="center"/>
              <w:rPr>
                <w:rFonts w:hint="eastAsia" w:ascii="仿宋" w:hAnsi="仿宋" w:cs="仿宋"/>
                <w:b/>
                <w:bCs/>
                <w:sz w:val="24"/>
                <w:szCs w:val="24"/>
              </w:rPr>
            </w:pPr>
            <w:r>
              <w:rPr>
                <w:rFonts w:hint="eastAsia" w:ascii="仿宋" w:hAnsi="仿宋" w:cs="仿宋"/>
                <w:b/>
                <w:bCs/>
                <w:sz w:val="24"/>
                <w:szCs w:val="24"/>
              </w:rPr>
              <w:t>（万元）</w:t>
            </w:r>
          </w:p>
        </w:tc>
        <w:tc>
          <w:tcPr>
            <w:tcW w:w="840" w:type="dxa"/>
            <w:vAlign w:val="center"/>
          </w:tcPr>
          <w:p>
            <w:pPr>
              <w:jc w:val="center"/>
              <w:rPr>
                <w:rFonts w:hint="eastAsia" w:ascii="仿宋" w:hAnsi="仿宋" w:cs="仿宋"/>
                <w:b/>
                <w:bCs/>
                <w:sz w:val="24"/>
                <w:szCs w:val="24"/>
              </w:rPr>
            </w:pPr>
            <w:r>
              <w:rPr>
                <w:rFonts w:hint="eastAsia" w:ascii="仿宋" w:hAnsi="仿宋" w:cs="仿宋"/>
                <w:b/>
                <w:bCs/>
                <w:sz w:val="24"/>
                <w:szCs w:val="24"/>
              </w:rPr>
              <w:t>参考品牌</w:t>
            </w:r>
          </w:p>
        </w:tc>
        <w:tc>
          <w:tcPr>
            <w:tcW w:w="1110" w:type="dxa"/>
            <w:vAlign w:val="center"/>
          </w:tcPr>
          <w:p>
            <w:pPr>
              <w:jc w:val="center"/>
              <w:rPr>
                <w:rFonts w:hint="eastAsia" w:ascii="仿宋" w:hAnsi="仿宋" w:cs="仿宋"/>
                <w:b/>
                <w:bCs/>
                <w:sz w:val="24"/>
                <w:szCs w:val="24"/>
              </w:rPr>
            </w:pPr>
            <w:r>
              <w:rPr>
                <w:rFonts w:hint="eastAsia" w:ascii="仿宋" w:hAnsi="仿宋" w:cs="仿宋"/>
                <w:b/>
                <w:bCs/>
                <w:sz w:val="24"/>
                <w:szCs w:val="24"/>
              </w:rPr>
              <w:t>报价</w:t>
            </w:r>
          </w:p>
          <w:p>
            <w:pPr>
              <w:jc w:val="center"/>
              <w:rPr>
                <w:rFonts w:hint="eastAsia" w:ascii="仿宋" w:hAnsi="仿宋" w:cs="仿宋"/>
                <w:b/>
                <w:bCs/>
                <w:sz w:val="24"/>
                <w:szCs w:val="24"/>
              </w:rPr>
            </w:pPr>
            <w:r>
              <w:rPr>
                <w:rFonts w:hint="eastAsia" w:ascii="仿宋" w:hAnsi="仿宋" w:cs="仿宋"/>
                <w:b/>
                <w:bCs/>
                <w:sz w:val="24"/>
                <w:szCs w:val="24"/>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714" w:type="dxa"/>
            <w:vAlign w:val="center"/>
          </w:tcPr>
          <w:p>
            <w:pPr>
              <w:jc w:val="center"/>
              <w:rPr>
                <w:rFonts w:hint="eastAsia" w:cs="宋体"/>
                <w:szCs w:val="21"/>
              </w:rPr>
            </w:pPr>
            <w:r>
              <w:rPr>
                <w:rFonts w:hint="eastAsia" w:cs="宋体"/>
                <w:szCs w:val="21"/>
              </w:rPr>
              <w:t>1</w:t>
            </w:r>
          </w:p>
        </w:tc>
        <w:tc>
          <w:tcPr>
            <w:tcW w:w="900" w:type="dxa"/>
            <w:vAlign w:val="center"/>
          </w:tcPr>
          <w:p>
            <w:pPr>
              <w:snapToGrid w:val="0"/>
              <w:jc w:val="left"/>
              <w:rPr>
                <w:rFonts w:hint="eastAsia" w:ascii="仿宋" w:hAnsi="仿宋" w:cs="宋体"/>
                <w:kern w:val="0"/>
                <w:szCs w:val="28"/>
              </w:rPr>
            </w:pPr>
            <w:r>
              <w:rPr>
                <w:rFonts w:hint="eastAsia" w:ascii="仿宋" w:hAnsi="仿宋" w:cs="宋体"/>
                <w:kern w:val="0"/>
                <w:szCs w:val="28"/>
              </w:rPr>
              <w:t>畜禽种繁育人员职业标准（1级）</w:t>
            </w:r>
          </w:p>
        </w:tc>
        <w:tc>
          <w:tcPr>
            <w:tcW w:w="3916" w:type="dxa"/>
          </w:tcPr>
          <w:p>
            <w:pPr>
              <w:snapToGrid w:val="0"/>
              <w:jc w:val="left"/>
              <w:rPr>
                <w:rFonts w:hint="eastAsia"/>
              </w:rPr>
            </w:pPr>
            <w:r>
              <w:rPr>
                <w:rFonts w:hint="eastAsia"/>
              </w:rPr>
              <w:t>一．中外双方材料中译越、越译中</w:t>
            </w:r>
          </w:p>
          <w:p>
            <w:pPr>
              <w:snapToGrid w:val="0"/>
              <w:jc w:val="left"/>
              <w:rPr>
                <w:rFonts w:hint="eastAsia"/>
              </w:rPr>
            </w:pPr>
            <w:r>
              <w:rPr>
                <w:rFonts w:hint="eastAsia"/>
              </w:rPr>
              <w:t>翻译内容：职业标准与专业教学标准翻译为越文</w:t>
            </w:r>
          </w:p>
          <w:p>
            <w:pPr>
              <w:snapToGrid w:val="0"/>
              <w:jc w:val="left"/>
              <w:rPr>
                <w:rFonts w:hint="eastAsia"/>
              </w:rPr>
            </w:pPr>
            <w:r>
              <w:rPr>
                <w:rFonts w:hint="eastAsia"/>
              </w:rPr>
              <w:t>技术要求：</w:t>
            </w:r>
          </w:p>
          <w:p>
            <w:pPr>
              <w:snapToGrid w:val="0"/>
              <w:jc w:val="left"/>
              <w:rPr>
                <w:rFonts w:hint="eastAsia"/>
              </w:rPr>
            </w:pPr>
            <w:r>
              <w:rPr>
                <w:rFonts w:hint="eastAsia"/>
              </w:rPr>
              <w:t>依据IS09001质量操作标准，采用行之有效的一译→二改→三校→四审的流程以保证质量，具体流程如下：</w:t>
            </w:r>
          </w:p>
          <w:p>
            <w:pPr>
              <w:snapToGrid w:val="0"/>
              <w:jc w:val="left"/>
              <w:rPr>
                <w:rFonts w:hint="eastAsia"/>
              </w:rPr>
            </w:pPr>
            <w:r>
              <w:rPr>
                <w:rFonts w:hint="eastAsia"/>
              </w:rPr>
              <w:t>1.确定项目经理。</w:t>
            </w:r>
          </w:p>
          <w:p>
            <w:pPr>
              <w:snapToGrid w:val="0"/>
              <w:jc w:val="left"/>
              <w:rPr>
                <w:rFonts w:hint="eastAsia"/>
              </w:rPr>
            </w:pPr>
            <w:r>
              <w:rPr>
                <w:rFonts w:hint="eastAsia"/>
              </w:rPr>
              <w:t>2.分析资料内容，确定资料类别。</w:t>
            </w:r>
          </w:p>
          <w:p>
            <w:pPr>
              <w:snapToGrid w:val="0"/>
              <w:jc w:val="left"/>
              <w:rPr>
                <w:rFonts w:hint="eastAsia"/>
              </w:rPr>
            </w:pPr>
            <w:r>
              <w:rPr>
                <w:rFonts w:hint="eastAsia"/>
              </w:rPr>
              <w:t>3.确定参加翻译人员培训内容，制订培训计划。</w:t>
            </w:r>
          </w:p>
          <w:p>
            <w:pPr>
              <w:snapToGrid w:val="0"/>
              <w:jc w:val="left"/>
              <w:rPr>
                <w:rFonts w:hint="eastAsia"/>
              </w:rPr>
            </w:pPr>
            <w:r>
              <w:rPr>
                <w:rFonts w:hint="eastAsia"/>
              </w:rPr>
              <w:t>4.确定译员名单。</w:t>
            </w:r>
          </w:p>
          <w:p>
            <w:pPr>
              <w:snapToGrid w:val="0"/>
              <w:jc w:val="left"/>
              <w:rPr>
                <w:rFonts w:hint="eastAsia"/>
              </w:rPr>
            </w:pPr>
            <w:r>
              <w:rPr>
                <w:rFonts w:hint="eastAsia"/>
              </w:rPr>
              <w:t>5.制订工作要求和标准。</w:t>
            </w:r>
          </w:p>
          <w:p>
            <w:pPr>
              <w:snapToGrid w:val="0"/>
              <w:jc w:val="left"/>
              <w:rPr>
                <w:rFonts w:hint="eastAsia"/>
              </w:rPr>
            </w:pPr>
            <w:r>
              <w:rPr>
                <w:rFonts w:hint="eastAsia"/>
              </w:rPr>
              <w:t>6.确定统一的词汇表。</w:t>
            </w:r>
          </w:p>
          <w:p>
            <w:pPr>
              <w:snapToGrid w:val="0"/>
              <w:jc w:val="left"/>
              <w:rPr>
                <w:rFonts w:hint="eastAsia"/>
              </w:rPr>
            </w:pPr>
            <w:r>
              <w:rPr>
                <w:rFonts w:hint="eastAsia"/>
              </w:rPr>
              <w:t>7.制订计划进度控制一览表。</w:t>
            </w:r>
          </w:p>
          <w:p>
            <w:pPr>
              <w:snapToGrid w:val="0"/>
              <w:jc w:val="left"/>
              <w:rPr>
                <w:rFonts w:hint="eastAsia"/>
              </w:rPr>
            </w:pPr>
            <w:r>
              <w:rPr>
                <w:rFonts w:hint="eastAsia"/>
              </w:rPr>
              <w:t>8.分配业务。</w:t>
            </w:r>
          </w:p>
          <w:p>
            <w:pPr>
              <w:snapToGrid w:val="0"/>
              <w:jc w:val="left"/>
              <w:rPr>
                <w:rFonts w:hint="eastAsia"/>
              </w:rPr>
            </w:pPr>
            <w:r>
              <w:rPr>
                <w:rFonts w:hint="eastAsia"/>
              </w:rPr>
              <w:t>9.每日业务进展跟踪，情况综合及难点讨论。</w:t>
            </w:r>
          </w:p>
          <w:p>
            <w:pPr>
              <w:snapToGrid w:val="0"/>
              <w:jc w:val="left"/>
              <w:rPr>
                <w:rFonts w:hint="eastAsia"/>
              </w:rPr>
            </w:pPr>
            <w:r>
              <w:rPr>
                <w:rFonts w:hint="eastAsia"/>
              </w:rPr>
              <w:t>10.调整译员力量，调整部分译员工作量。</w:t>
            </w:r>
          </w:p>
          <w:p>
            <w:pPr>
              <w:snapToGrid w:val="0"/>
              <w:jc w:val="left"/>
              <w:rPr>
                <w:rFonts w:hint="eastAsia"/>
              </w:rPr>
            </w:pPr>
            <w:r>
              <w:rPr>
                <w:rFonts w:hint="eastAsia"/>
              </w:rPr>
              <w:t>11.质量抽查。</w:t>
            </w:r>
          </w:p>
          <w:p>
            <w:pPr>
              <w:snapToGrid w:val="0"/>
              <w:jc w:val="left"/>
              <w:rPr>
                <w:rFonts w:hint="eastAsia"/>
              </w:rPr>
            </w:pPr>
            <w:r>
              <w:rPr>
                <w:rFonts w:hint="eastAsia"/>
              </w:rPr>
              <w:t>12.工作阶段衔接、调整与准备。</w:t>
            </w:r>
          </w:p>
          <w:p>
            <w:pPr>
              <w:snapToGrid w:val="0"/>
              <w:jc w:val="left"/>
              <w:rPr>
                <w:rFonts w:hint="eastAsia"/>
              </w:rPr>
            </w:pPr>
            <w:r>
              <w:rPr>
                <w:rFonts w:hint="eastAsia"/>
              </w:rPr>
              <w:t>13.协调工作进度，确保完成日工作量。</w:t>
            </w:r>
          </w:p>
          <w:p>
            <w:pPr>
              <w:snapToGrid w:val="0"/>
              <w:jc w:val="left"/>
              <w:rPr>
                <w:rFonts w:hint="eastAsia"/>
              </w:rPr>
            </w:pPr>
            <w:r>
              <w:rPr>
                <w:rFonts w:hint="eastAsia"/>
              </w:rPr>
              <w:t>14.及时与越方沟通，明确越方最新要求。</w:t>
            </w:r>
          </w:p>
          <w:p>
            <w:pPr>
              <w:snapToGrid w:val="0"/>
              <w:jc w:val="left"/>
              <w:rPr>
                <w:rFonts w:hint="eastAsia"/>
              </w:rPr>
            </w:pPr>
            <w:r>
              <w:rPr>
                <w:rFonts w:hint="eastAsia"/>
              </w:rPr>
              <w:t>15.译员修改译稿。</w:t>
            </w:r>
          </w:p>
          <w:p>
            <w:pPr>
              <w:snapToGrid w:val="0"/>
              <w:jc w:val="left"/>
              <w:rPr>
                <w:rFonts w:hint="eastAsia"/>
              </w:rPr>
            </w:pPr>
            <w:r>
              <w:rPr>
                <w:rFonts w:hint="eastAsia"/>
              </w:rPr>
              <w:t>16.专业审稿，确保专业内容准确无误。</w:t>
            </w:r>
          </w:p>
          <w:p>
            <w:pPr>
              <w:snapToGrid w:val="0"/>
              <w:jc w:val="left"/>
              <w:rPr>
                <w:rFonts w:hint="eastAsia"/>
              </w:rPr>
            </w:pPr>
            <w:r>
              <w:rPr>
                <w:rFonts w:hint="eastAsia"/>
              </w:rPr>
              <w:t>17.语言审稿，确保译文语言流畅、优美。</w:t>
            </w:r>
          </w:p>
          <w:p>
            <w:pPr>
              <w:snapToGrid w:val="0"/>
              <w:jc w:val="left"/>
              <w:rPr>
                <w:rFonts w:hint="eastAsia"/>
              </w:rPr>
            </w:pPr>
            <w:r>
              <w:rPr>
                <w:rFonts w:hint="eastAsia"/>
              </w:rPr>
              <w:t>18.排版制作。</w:t>
            </w:r>
          </w:p>
          <w:p>
            <w:pPr>
              <w:snapToGrid w:val="0"/>
              <w:jc w:val="left"/>
              <w:rPr>
                <w:rFonts w:hint="eastAsia"/>
              </w:rPr>
            </w:pPr>
            <w:r>
              <w:rPr>
                <w:rFonts w:hint="eastAsia"/>
              </w:rPr>
              <w:t>19.向越方交出译稿。</w:t>
            </w:r>
          </w:p>
          <w:p>
            <w:pPr>
              <w:snapToGrid w:val="0"/>
              <w:jc w:val="left"/>
              <w:rPr>
                <w:rFonts w:hint="eastAsia"/>
              </w:rPr>
            </w:pPr>
            <w:r>
              <w:rPr>
                <w:rFonts w:hint="eastAsia"/>
              </w:rPr>
              <w:t>20.收集越方质量反馈意见。</w:t>
            </w:r>
          </w:p>
          <w:p>
            <w:pPr>
              <w:snapToGrid w:val="0"/>
              <w:jc w:val="left"/>
              <w:rPr>
                <w:rFonts w:hint="eastAsia"/>
              </w:rPr>
            </w:pPr>
            <w:r>
              <w:rPr>
                <w:rFonts w:hint="eastAsia"/>
              </w:rPr>
              <w:t>21.修改译稿。</w:t>
            </w:r>
          </w:p>
          <w:p>
            <w:pPr>
              <w:snapToGrid w:val="0"/>
              <w:jc w:val="left"/>
              <w:rPr>
                <w:rFonts w:hint="eastAsia"/>
              </w:rPr>
            </w:pPr>
            <w:r>
              <w:rPr>
                <w:rFonts w:hint="eastAsia"/>
              </w:rPr>
              <w:t>22.二次排版制作。</w:t>
            </w:r>
          </w:p>
          <w:p>
            <w:pPr>
              <w:snapToGrid w:val="0"/>
              <w:jc w:val="left"/>
              <w:rPr>
                <w:rFonts w:hint="eastAsia"/>
              </w:rPr>
            </w:pPr>
            <w:r>
              <w:rPr>
                <w:rFonts w:hint="eastAsia"/>
              </w:rPr>
              <w:t>23.向越方提交最终译稿。</w:t>
            </w:r>
          </w:p>
          <w:p>
            <w:pPr>
              <w:snapToGrid w:val="0"/>
              <w:jc w:val="left"/>
              <w:rPr>
                <w:rFonts w:hint="eastAsia"/>
              </w:rPr>
            </w:pPr>
          </w:p>
          <w:p>
            <w:pPr>
              <w:snapToGrid w:val="0"/>
              <w:jc w:val="left"/>
              <w:rPr>
                <w:rFonts w:hint="eastAsia"/>
                <w:szCs w:val="21"/>
              </w:rPr>
            </w:pPr>
            <w:r>
              <w:rPr>
                <w:rFonts w:hint="eastAsia"/>
                <w:szCs w:val="21"/>
              </w:rPr>
              <w:t>二．项目实施过程中举办的研讨会、培训等会务、培训和交传翻译</w:t>
            </w:r>
          </w:p>
          <w:p>
            <w:pPr>
              <w:snapToGrid w:val="0"/>
              <w:jc w:val="left"/>
              <w:rPr>
                <w:rFonts w:hint="eastAsia"/>
                <w:szCs w:val="21"/>
              </w:rPr>
            </w:pPr>
            <w:r>
              <w:rPr>
                <w:szCs w:val="21"/>
              </w:rPr>
              <w:t>1.专家评审会议，对职业标准申报院校进行评审和指导，审核申报材料，听取汇报。</w:t>
            </w:r>
          </w:p>
          <w:p>
            <w:pPr>
              <w:snapToGrid w:val="0"/>
              <w:jc w:val="left"/>
              <w:rPr>
                <w:rFonts w:hint="eastAsia"/>
                <w:szCs w:val="21"/>
              </w:rPr>
            </w:pPr>
            <w:r>
              <w:rPr>
                <w:szCs w:val="21"/>
              </w:rPr>
              <w:t>2.职业标准撰写过程性会议指导，培训。</w:t>
            </w:r>
          </w:p>
          <w:p>
            <w:pPr>
              <w:snapToGrid w:val="0"/>
              <w:jc w:val="left"/>
              <w:rPr>
                <w:rFonts w:hint="eastAsia"/>
                <w:szCs w:val="21"/>
              </w:rPr>
            </w:pPr>
            <w:r>
              <w:rPr>
                <w:szCs w:val="21"/>
              </w:rPr>
              <w:t>3.职业标准（越方）通识材料下发。</w:t>
            </w:r>
          </w:p>
          <w:p>
            <w:pPr>
              <w:snapToGrid w:val="0"/>
              <w:jc w:val="left"/>
              <w:rPr>
                <w:rFonts w:hint="eastAsia"/>
                <w:szCs w:val="21"/>
              </w:rPr>
            </w:pPr>
            <w:r>
              <w:rPr>
                <w:szCs w:val="21"/>
              </w:rPr>
              <w:t>4.职业标准、专业教学标准的模板下发。</w:t>
            </w:r>
          </w:p>
          <w:p>
            <w:pPr>
              <w:snapToGrid w:val="0"/>
              <w:jc w:val="left"/>
              <w:rPr>
                <w:rFonts w:hint="eastAsia"/>
                <w:szCs w:val="21"/>
              </w:rPr>
            </w:pPr>
            <w:r>
              <w:rPr>
                <w:szCs w:val="21"/>
              </w:rPr>
              <w:t>5.双方专家沟通会，越南专家介绍越南的教育体系。</w:t>
            </w:r>
          </w:p>
          <w:p>
            <w:pPr>
              <w:snapToGrid w:val="0"/>
              <w:jc w:val="left"/>
              <w:rPr>
                <w:rFonts w:hint="eastAsia"/>
                <w:szCs w:val="21"/>
              </w:rPr>
            </w:pPr>
            <w:r>
              <w:rPr>
                <w:szCs w:val="21"/>
              </w:rPr>
              <w:t>6.介绍越南的职业教育技能框架。</w:t>
            </w:r>
          </w:p>
          <w:p>
            <w:pPr>
              <w:snapToGrid w:val="0"/>
              <w:jc w:val="left"/>
              <w:rPr>
                <w:rFonts w:hint="eastAsia"/>
                <w:szCs w:val="21"/>
              </w:rPr>
            </w:pPr>
            <w:r>
              <w:rPr>
                <w:szCs w:val="21"/>
              </w:rPr>
              <w:t>7.介绍职业标准开发和修订的流程。</w:t>
            </w:r>
          </w:p>
          <w:p>
            <w:pPr>
              <w:snapToGrid w:val="0"/>
              <w:jc w:val="left"/>
              <w:rPr>
                <w:rFonts w:hint="eastAsia"/>
                <w:szCs w:val="21"/>
              </w:rPr>
            </w:pPr>
            <w:r>
              <w:rPr>
                <w:szCs w:val="21"/>
              </w:rPr>
              <w:t>8.组织学校与越南专家组沟通会议，根据实际情况组织</w:t>
            </w:r>
            <w:r>
              <w:rPr>
                <w:rFonts w:hint="eastAsia"/>
                <w:szCs w:val="21"/>
              </w:rPr>
              <w:t>1</w:t>
            </w:r>
            <w:r>
              <w:rPr>
                <w:szCs w:val="21"/>
              </w:rPr>
              <w:t>-</w:t>
            </w:r>
            <w:r>
              <w:rPr>
                <w:rFonts w:hint="eastAsia"/>
                <w:szCs w:val="21"/>
              </w:rPr>
              <w:t>2</w:t>
            </w:r>
            <w:r>
              <w:rPr>
                <w:szCs w:val="21"/>
              </w:rPr>
              <w:t>场的国际会议。</w:t>
            </w:r>
          </w:p>
          <w:p>
            <w:pPr>
              <w:snapToGrid w:val="0"/>
              <w:jc w:val="left"/>
              <w:rPr>
                <w:rFonts w:hint="eastAsia"/>
                <w:szCs w:val="21"/>
              </w:rPr>
            </w:pPr>
            <w:r>
              <w:rPr>
                <w:szCs w:val="21"/>
              </w:rPr>
              <w:t>9.组建各职业标准大队群，搭建大队研讨会平台。</w:t>
            </w:r>
          </w:p>
          <w:p>
            <w:pPr>
              <w:snapToGrid w:val="0"/>
              <w:jc w:val="left"/>
              <w:rPr>
                <w:rFonts w:hint="eastAsia"/>
                <w:szCs w:val="21"/>
              </w:rPr>
            </w:pPr>
            <w:r>
              <w:rPr>
                <w:szCs w:val="21"/>
              </w:rPr>
              <w:t>10.组织各院校开题报告会。</w:t>
            </w:r>
          </w:p>
          <w:p>
            <w:pPr>
              <w:pStyle w:val="5"/>
              <w:rPr>
                <w:rFonts w:hint="eastAsia"/>
                <w:szCs w:val="21"/>
              </w:rPr>
            </w:pPr>
          </w:p>
          <w:p>
            <w:pPr>
              <w:rPr>
                <w:rFonts w:hint="eastAsia"/>
                <w:szCs w:val="21"/>
              </w:rPr>
            </w:pPr>
            <w:r>
              <w:rPr>
                <w:rFonts w:hint="eastAsia"/>
                <w:szCs w:val="21"/>
              </w:rPr>
              <w:t>三．秘书处组建的中外双方专家工作组人员</w:t>
            </w:r>
          </w:p>
          <w:p>
            <w:pPr>
              <w:snapToGrid w:val="0"/>
              <w:jc w:val="left"/>
              <w:rPr>
                <w:rFonts w:hint="eastAsia"/>
                <w:szCs w:val="21"/>
              </w:rPr>
            </w:pPr>
            <w:r>
              <w:rPr>
                <w:szCs w:val="21"/>
              </w:rPr>
              <w:t>1.中方评审专家：</w:t>
            </w:r>
          </w:p>
          <w:p>
            <w:pPr>
              <w:snapToGrid w:val="0"/>
              <w:jc w:val="left"/>
              <w:rPr>
                <w:rFonts w:hint="eastAsia"/>
                <w:szCs w:val="21"/>
              </w:rPr>
            </w:pPr>
            <w:r>
              <w:rPr>
                <w:szCs w:val="21"/>
              </w:rPr>
              <w:t>将学校的申请表提前7天发送给每位专家。专家在评审会议之前对所参与的学校进行深入了解。</w:t>
            </w:r>
          </w:p>
          <w:p>
            <w:pPr>
              <w:snapToGrid w:val="0"/>
              <w:jc w:val="left"/>
              <w:rPr>
                <w:rFonts w:hint="eastAsia"/>
                <w:szCs w:val="21"/>
              </w:rPr>
            </w:pPr>
            <w:r>
              <w:rPr>
                <w:szCs w:val="21"/>
              </w:rPr>
              <w:t>参加评审前的专家预备会议。接受越南的工作指导。对评审要求进一步规范。</w:t>
            </w:r>
          </w:p>
          <w:p>
            <w:pPr>
              <w:snapToGrid w:val="0"/>
              <w:jc w:val="left"/>
              <w:rPr>
                <w:rFonts w:hint="eastAsia"/>
                <w:szCs w:val="21"/>
              </w:rPr>
            </w:pPr>
            <w:r>
              <w:rPr>
                <w:szCs w:val="21"/>
              </w:rPr>
              <w:t>所有评审专家意见收集汇总之后，召开评审组长会议，对评审结果进行最终确认。</w:t>
            </w:r>
          </w:p>
          <w:p>
            <w:pPr>
              <w:snapToGrid w:val="0"/>
              <w:jc w:val="left"/>
              <w:rPr>
                <w:rFonts w:hint="eastAsia"/>
                <w:szCs w:val="21"/>
              </w:rPr>
            </w:pPr>
            <w:r>
              <w:rPr>
                <w:szCs w:val="21"/>
              </w:rPr>
              <w:t>评审结果交进行最终确认。</w:t>
            </w:r>
          </w:p>
          <w:p>
            <w:pPr>
              <w:snapToGrid w:val="0"/>
              <w:jc w:val="left"/>
              <w:rPr>
                <w:rFonts w:hint="eastAsia"/>
                <w:szCs w:val="21"/>
              </w:rPr>
            </w:pPr>
            <w:r>
              <w:rPr>
                <w:szCs w:val="21"/>
              </w:rPr>
              <w:t>确认结果公示三天，公示无异议，发出最终结果通知。</w:t>
            </w:r>
          </w:p>
          <w:p>
            <w:pPr>
              <w:snapToGrid w:val="0"/>
              <w:jc w:val="left"/>
              <w:rPr>
                <w:rFonts w:hint="eastAsia"/>
                <w:szCs w:val="21"/>
              </w:rPr>
            </w:pPr>
            <w:r>
              <w:rPr>
                <w:szCs w:val="21"/>
              </w:rPr>
              <w:t>2.越南标准开发过程性指导专家：部分越南专家名单，根据项目情况适当增加或调整专家。</w:t>
            </w:r>
          </w:p>
          <w:p>
            <w:pPr>
              <w:snapToGrid w:val="0"/>
              <w:jc w:val="left"/>
              <w:rPr>
                <w:rFonts w:hint="eastAsia"/>
                <w:szCs w:val="21"/>
              </w:rPr>
            </w:pPr>
            <w:r>
              <w:rPr>
                <w:szCs w:val="21"/>
              </w:rPr>
              <w:t xml:space="preserve">3.中方标准开发过程性指导。  </w:t>
            </w:r>
          </w:p>
          <w:p>
            <w:pPr>
              <w:pStyle w:val="5"/>
              <w:rPr>
                <w:rFonts w:hint="eastAsia"/>
                <w:szCs w:val="21"/>
              </w:rPr>
            </w:pPr>
          </w:p>
          <w:p>
            <w:pPr>
              <w:rPr>
                <w:rFonts w:hint="eastAsia"/>
                <w:szCs w:val="21"/>
              </w:rPr>
            </w:pPr>
            <w:r>
              <w:rPr>
                <w:rFonts w:hint="eastAsia"/>
                <w:szCs w:val="21"/>
              </w:rPr>
              <w:t>四．标准纳入越南国家职业教育体系的认证和管理</w:t>
            </w:r>
          </w:p>
          <w:p>
            <w:pPr>
              <w:snapToGrid w:val="0"/>
              <w:jc w:val="left"/>
              <w:rPr>
                <w:rFonts w:hint="eastAsia"/>
                <w:szCs w:val="21"/>
              </w:rPr>
            </w:pPr>
            <w:r>
              <w:rPr>
                <w:szCs w:val="21"/>
              </w:rPr>
              <w:t>1.越方专家组对职业标准和专业教学标准进行第一次审核，中方撰写单位进行修改。</w:t>
            </w:r>
          </w:p>
          <w:p>
            <w:pPr>
              <w:snapToGrid w:val="0"/>
              <w:jc w:val="left"/>
              <w:rPr>
                <w:rFonts w:hint="eastAsia"/>
                <w:szCs w:val="21"/>
              </w:rPr>
            </w:pPr>
            <w:r>
              <w:rPr>
                <w:szCs w:val="21"/>
              </w:rPr>
              <w:t>2.越方专家组对职业标准和专业教学标准进行第二次审核，中方撰写单位进行修改，有可能要进行多次修订审核。</w:t>
            </w:r>
          </w:p>
          <w:p>
            <w:pPr>
              <w:snapToGrid w:val="0"/>
              <w:jc w:val="left"/>
              <w:rPr>
                <w:rFonts w:hint="eastAsia"/>
                <w:szCs w:val="21"/>
              </w:rPr>
            </w:pPr>
            <w:r>
              <w:rPr>
                <w:szCs w:val="21"/>
              </w:rPr>
              <w:t>3.通过修订审核形成终稿后，向中方专家组递交审核。</w:t>
            </w:r>
          </w:p>
          <w:p>
            <w:pPr>
              <w:snapToGrid w:val="0"/>
              <w:jc w:val="left"/>
              <w:rPr>
                <w:rFonts w:hint="eastAsia"/>
                <w:szCs w:val="21"/>
              </w:rPr>
            </w:pPr>
            <w:r>
              <w:rPr>
                <w:szCs w:val="21"/>
              </w:rPr>
              <w:t>4.中方专家组进行标准内容的审定和提出最终意见，需要修改或定稿，最终</w:t>
            </w:r>
            <w:r>
              <w:rPr>
                <w:rFonts w:hint="eastAsia"/>
                <w:szCs w:val="21"/>
              </w:rPr>
              <w:t>以</w:t>
            </w:r>
            <w:r>
              <w:rPr>
                <w:szCs w:val="21"/>
              </w:rPr>
              <w:t>终稿向越南提出认证申请。</w:t>
            </w:r>
          </w:p>
          <w:p>
            <w:pPr>
              <w:snapToGrid w:val="0"/>
              <w:jc w:val="left"/>
              <w:rPr>
                <w:rFonts w:hint="eastAsia"/>
                <w:szCs w:val="21"/>
              </w:rPr>
            </w:pPr>
            <w:r>
              <w:rPr>
                <w:szCs w:val="21"/>
              </w:rPr>
              <w:t>4.越方受理申请，进行终审。</w:t>
            </w:r>
          </w:p>
          <w:p>
            <w:pPr>
              <w:snapToGrid w:val="0"/>
              <w:jc w:val="left"/>
              <w:rPr>
                <w:rFonts w:hint="eastAsia"/>
                <w:szCs w:val="21"/>
              </w:rPr>
            </w:pPr>
            <w:r>
              <w:rPr>
                <w:szCs w:val="21"/>
              </w:rPr>
              <w:t>5.审核通过后，在越南</w:t>
            </w:r>
            <w:r>
              <w:rPr>
                <w:rFonts w:hint="eastAsia"/>
                <w:szCs w:val="21"/>
              </w:rPr>
              <w:t>主管部门</w:t>
            </w:r>
            <w:r>
              <w:rPr>
                <w:szCs w:val="21"/>
              </w:rPr>
              <w:t>进行公布。</w:t>
            </w:r>
          </w:p>
          <w:p>
            <w:pPr>
              <w:snapToGrid w:val="0"/>
              <w:jc w:val="left"/>
              <w:rPr>
                <w:rFonts w:hint="eastAsia"/>
                <w:szCs w:val="21"/>
              </w:rPr>
            </w:pPr>
            <w:r>
              <w:rPr>
                <w:szCs w:val="21"/>
              </w:rPr>
              <w:t>6.越南</w:t>
            </w:r>
            <w:r>
              <w:rPr>
                <w:rFonts w:hint="eastAsia"/>
                <w:szCs w:val="21"/>
              </w:rPr>
              <w:t>主管部门</w:t>
            </w:r>
            <w:r>
              <w:rPr>
                <w:szCs w:val="21"/>
              </w:rPr>
              <w:t>出具证书，颁发给学校。</w:t>
            </w:r>
          </w:p>
          <w:p>
            <w:pPr>
              <w:snapToGrid w:val="0"/>
              <w:jc w:val="left"/>
              <w:rPr>
                <w:rFonts w:hint="eastAsia"/>
              </w:rPr>
            </w:pPr>
          </w:p>
        </w:tc>
        <w:tc>
          <w:tcPr>
            <w:tcW w:w="705" w:type="dxa"/>
            <w:vAlign w:val="center"/>
          </w:tcPr>
          <w:p>
            <w:pPr>
              <w:snapToGrid w:val="0"/>
              <w:jc w:val="center"/>
              <w:rPr>
                <w:rFonts w:hint="eastAsia" w:ascii="仿宋" w:hAnsi="仿宋" w:cs="宋体"/>
                <w:kern w:val="0"/>
                <w:szCs w:val="28"/>
              </w:rPr>
            </w:pPr>
            <w:r>
              <w:rPr>
                <w:rFonts w:hint="eastAsia" w:ascii="仿宋" w:hAnsi="仿宋" w:cs="宋体"/>
                <w:kern w:val="0"/>
                <w:szCs w:val="28"/>
              </w:rPr>
              <w:t>1</w:t>
            </w:r>
          </w:p>
        </w:tc>
        <w:tc>
          <w:tcPr>
            <w:tcW w:w="1005" w:type="dxa"/>
            <w:vAlign w:val="center"/>
          </w:tcPr>
          <w:p>
            <w:pPr>
              <w:widowControl/>
              <w:jc w:val="center"/>
              <w:rPr>
                <w:rFonts w:hint="eastAsia" w:ascii="仿宋" w:hAnsi="仿宋" w:cs="仿宋"/>
                <w:szCs w:val="28"/>
              </w:rPr>
            </w:pPr>
            <w:r>
              <w:rPr>
                <w:rFonts w:hint="eastAsia" w:ascii="仿宋" w:hAnsi="仿宋" w:cs="仿宋"/>
                <w:szCs w:val="28"/>
              </w:rPr>
              <w:t>16</w:t>
            </w:r>
          </w:p>
        </w:tc>
        <w:tc>
          <w:tcPr>
            <w:tcW w:w="1080" w:type="dxa"/>
            <w:vAlign w:val="center"/>
          </w:tcPr>
          <w:p>
            <w:pPr>
              <w:widowControl/>
              <w:jc w:val="center"/>
              <w:rPr>
                <w:rFonts w:hint="eastAsia" w:ascii="仿宋" w:hAnsi="仿宋" w:cs="仿宋"/>
                <w:szCs w:val="28"/>
              </w:rPr>
            </w:pPr>
            <w:r>
              <w:rPr>
                <w:rFonts w:hint="eastAsia" w:ascii="仿宋" w:hAnsi="仿宋" w:cs="仿宋"/>
                <w:szCs w:val="28"/>
              </w:rPr>
              <w:t>16</w:t>
            </w:r>
          </w:p>
        </w:tc>
        <w:tc>
          <w:tcPr>
            <w:tcW w:w="840" w:type="dxa"/>
            <w:vAlign w:val="center"/>
          </w:tcPr>
          <w:p>
            <w:pPr>
              <w:jc w:val="center"/>
              <w:rPr>
                <w:rFonts w:hint="eastAsia" w:eastAsia="宋体" w:cs="宋体"/>
                <w:sz w:val="21"/>
                <w:szCs w:val="21"/>
              </w:rPr>
            </w:pPr>
            <w:r>
              <w:rPr>
                <w:rFonts w:hint="eastAsia" w:eastAsia="宋体" w:cs="宋体"/>
                <w:sz w:val="21"/>
                <w:szCs w:val="21"/>
              </w:rPr>
              <w:t>/</w:t>
            </w:r>
          </w:p>
        </w:tc>
        <w:tc>
          <w:tcPr>
            <w:tcW w:w="1110" w:type="dxa"/>
            <w:vAlign w:val="center"/>
          </w:tcPr>
          <w:p>
            <w:pPr>
              <w:jc w:val="center"/>
              <w:rPr>
                <w:rFonts w:hint="eastAsia" w:cs="宋体"/>
                <w:sz w:val="21"/>
                <w:szCs w:val="21"/>
              </w:rPr>
            </w:pPr>
            <w:r>
              <w:rPr>
                <w:rFonts w:hint="eastAsia" w:ascii="仿宋" w:hAnsi="仿宋" w:cs="宋体"/>
                <w:kern w:val="0"/>
                <w:szCs w:val="28"/>
              </w:rPr>
              <w:t>《关于开展中国职业院校与越南国家共建行业岗位职业标准项目费用说明指导意见》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714" w:type="dxa"/>
            <w:vAlign w:val="center"/>
          </w:tcPr>
          <w:p>
            <w:pPr>
              <w:jc w:val="center"/>
              <w:rPr>
                <w:rFonts w:hint="eastAsia" w:cs="宋体"/>
                <w:szCs w:val="21"/>
              </w:rPr>
            </w:pPr>
            <w:r>
              <w:rPr>
                <w:rFonts w:hint="eastAsia" w:cs="宋体"/>
                <w:szCs w:val="21"/>
              </w:rPr>
              <w:t>2</w:t>
            </w:r>
          </w:p>
        </w:tc>
        <w:tc>
          <w:tcPr>
            <w:tcW w:w="900" w:type="dxa"/>
            <w:vAlign w:val="center"/>
          </w:tcPr>
          <w:p>
            <w:pPr>
              <w:snapToGrid w:val="0"/>
              <w:jc w:val="left"/>
              <w:rPr>
                <w:rFonts w:hint="eastAsia" w:ascii="仿宋" w:hAnsi="仿宋" w:cs="宋体"/>
                <w:kern w:val="0"/>
                <w:szCs w:val="28"/>
              </w:rPr>
            </w:pPr>
            <w:r>
              <w:rPr>
                <w:rFonts w:hint="eastAsia" w:ascii="仿宋" w:hAnsi="仿宋" w:cs="宋体"/>
                <w:kern w:val="0"/>
                <w:szCs w:val="28"/>
              </w:rPr>
              <w:t>畜禽种繁育人员职业标准（2级）</w:t>
            </w:r>
          </w:p>
        </w:tc>
        <w:tc>
          <w:tcPr>
            <w:tcW w:w="3916" w:type="dxa"/>
          </w:tcPr>
          <w:p>
            <w:pPr>
              <w:snapToGrid w:val="0"/>
              <w:jc w:val="left"/>
              <w:rPr>
                <w:rFonts w:hint="eastAsia"/>
              </w:rPr>
            </w:pPr>
            <w:r>
              <w:rPr>
                <w:rFonts w:hint="eastAsia"/>
              </w:rPr>
              <w:t>一．中外双方材料中译越、越译中</w:t>
            </w:r>
          </w:p>
          <w:p>
            <w:pPr>
              <w:snapToGrid w:val="0"/>
              <w:jc w:val="left"/>
              <w:rPr>
                <w:rFonts w:hint="eastAsia"/>
              </w:rPr>
            </w:pPr>
            <w:r>
              <w:rPr>
                <w:rFonts w:hint="eastAsia"/>
              </w:rPr>
              <w:t>翻译内容：职业标准与专业教学标准翻译为越文</w:t>
            </w:r>
          </w:p>
          <w:p>
            <w:pPr>
              <w:snapToGrid w:val="0"/>
              <w:jc w:val="left"/>
              <w:rPr>
                <w:rFonts w:hint="eastAsia"/>
              </w:rPr>
            </w:pPr>
            <w:r>
              <w:rPr>
                <w:rFonts w:hint="eastAsia"/>
              </w:rPr>
              <w:t>技术要求：</w:t>
            </w:r>
          </w:p>
          <w:p>
            <w:pPr>
              <w:snapToGrid w:val="0"/>
              <w:jc w:val="left"/>
              <w:rPr>
                <w:rFonts w:hint="eastAsia"/>
              </w:rPr>
            </w:pPr>
            <w:r>
              <w:rPr>
                <w:rFonts w:hint="eastAsia"/>
              </w:rPr>
              <w:t>依据IS09001质量操作标准，采用行之有效的一译→二改→三校→四审的流程以保证质量，具体流程如下：</w:t>
            </w:r>
          </w:p>
          <w:p>
            <w:pPr>
              <w:snapToGrid w:val="0"/>
              <w:jc w:val="left"/>
              <w:rPr>
                <w:rFonts w:hint="eastAsia"/>
              </w:rPr>
            </w:pPr>
            <w:r>
              <w:rPr>
                <w:rFonts w:hint="eastAsia"/>
              </w:rPr>
              <w:t>1.确定项目经理。</w:t>
            </w:r>
          </w:p>
          <w:p>
            <w:pPr>
              <w:snapToGrid w:val="0"/>
              <w:jc w:val="left"/>
              <w:rPr>
                <w:rFonts w:hint="eastAsia"/>
              </w:rPr>
            </w:pPr>
            <w:r>
              <w:rPr>
                <w:rFonts w:hint="eastAsia"/>
              </w:rPr>
              <w:t>2.分析资料内容，确定资料类别。</w:t>
            </w:r>
          </w:p>
          <w:p>
            <w:pPr>
              <w:snapToGrid w:val="0"/>
              <w:jc w:val="left"/>
              <w:rPr>
                <w:rFonts w:hint="eastAsia"/>
              </w:rPr>
            </w:pPr>
            <w:r>
              <w:rPr>
                <w:rFonts w:hint="eastAsia"/>
              </w:rPr>
              <w:t>3.确定参加翻译人员培训内容，制订培训计划。</w:t>
            </w:r>
          </w:p>
          <w:p>
            <w:pPr>
              <w:snapToGrid w:val="0"/>
              <w:jc w:val="left"/>
              <w:rPr>
                <w:rFonts w:hint="eastAsia"/>
              </w:rPr>
            </w:pPr>
            <w:r>
              <w:rPr>
                <w:rFonts w:hint="eastAsia"/>
              </w:rPr>
              <w:t>4.确定译员名单。</w:t>
            </w:r>
          </w:p>
          <w:p>
            <w:pPr>
              <w:snapToGrid w:val="0"/>
              <w:jc w:val="left"/>
              <w:rPr>
                <w:rFonts w:hint="eastAsia"/>
              </w:rPr>
            </w:pPr>
            <w:r>
              <w:rPr>
                <w:rFonts w:hint="eastAsia"/>
              </w:rPr>
              <w:t>5.制订工作要求和标准。</w:t>
            </w:r>
          </w:p>
          <w:p>
            <w:pPr>
              <w:snapToGrid w:val="0"/>
              <w:jc w:val="left"/>
              <w:rPr>
                <w:rFonts w:hint="eastAsia"/>
              </w:rPr>
            </w:pPr>
            <w:r>
              <w:rPr>
                <w:rFonts w:hint="eastAsia"/>
              </w:rPr>
              <w:t>6.确定统一的词汇表。</w:t>
            </w:r>
          </w:p>
          <w:p>
            <w:pPr>
              <w:snapToGrid w:val="0"/>
              <w:jc w:val="left"/>
              <w:rPr>
                <w:rFonts w:hint="eastAsia"/>
              </w:rPr>
            </w:pPr>
            <w:r>
              <w:rPr>
                <w:rFonts w:hint="eastAsia"/>
              </w:rPr>
              <w:t>7.制订计划进度控制一览表。</w:t>
            </w:r>
          </w:p>
          <w:p>
            <w:pPr>
              <w:snapToGrid w:val="0"/>
              <w:jc w:val="left"/>
              <w:rPr>
                <w:rFonts w:hint="eastAsia"/>
              </w:rPr>
            </w:pPr>
            <w:r>
              <w:rPr>
                <w:rFonts w:hint="eastAsia"/>
              </w:rPr>
              <w:t>8.分配业务。</w:t>
            </w:r>
          </w:p>
          <w:p>
            <w:pPr>
              <w:snapToGrid w:val="0"/>
              <w:jc w:val="left"/>
              <w:rPr>
                <w:rFonts w:hint="eastAsia"/>
              </w:rPr>
            </w:pPr>
            <w:r>
              <w:rPr>
                <w:rFonts w:hint="eastAsia"/>
              </w:rPr>
              <w:t>9.每日业务进展跟踪，情况综合及难点讨论。</w:t>
            </w:r>
          </w:p>
          <w:p>
            <w:pPr>
              <w:snapToGrid w:val="0"/>
              <w:jc w:val="left"/>
              <w:rPr>
                <w:rFonts w:hint="eastAsia"/>
              </w:rPr>
            </w:pPr>
            <w:r>
              <w:rPr>
                <w:rFonts w:hint="eastAsia"/>
              </w:rPr>
              <w:t>10.调整译员力量，调整部分译员工作量。</w:t>
            </w:r>
          </w:p>
          <w:p>
            <w:pPr>
              <w:snapToGrid w:val="0"/>
              <w:jc w:val="left"/>
              <w:rPr>
                <w:rFonts w:hint="eastAsia"/>
              </w:rPr>
            </w:pPr>
            <w:r>
              <w:rPr>
                <w:rFonts w:hint="eastAsia"/>
              </w:rPr>
              <w:t>11.质量抽查。</w:t>
            </w:r>
          </w:p>
          <w:p>
            <w:pPr>
              <w:snapToGrid w:val="0"/>
              <w:jc w:val="left"/>
              <w:rPr>
                <w:rFonts w:hint="eastAsia"/>
              </w:rPr>
            </w:pPr>
            <w:r>
              <w:rPr>
                <w:rFonts w:hint="eastAsia"/>
              </w:rPr>
              <w:t>12.工作阶段衔接、调整与准备。</w:t>
            </w:r>
          </w:p>
          <w:p>
            <w:pPr>
              <w:snapToGrid w:val="0"/>
              <w:jc w:val="left"/>
              <w:rPr>
                <w:rFonts w:hint="eastAsia"/>
              </w:rPr>
            </w:pPr>
            <w:r>
              <w:rPr>
                <w:rFonts w:hint="eastAsia"/>
              </w:rPr>
              <w:t>13.协调工作进度，确保完成日工作量。</w:t>
            </w:r>
          </w:p>
          <w:p>
            <w:pPr>
              <w:snapToGrid w:val="0"/>
              <w:jc w:val="left"/>
              <w:rPr>
                <w:rFonts w:hint="eastAsia"/>
              </w:rPr>
            </w:pPr>
            <w:r>
              <w:rPr>
                <w:rFonts w:hint="eastAsia"/>
              </w:rPr>
              <w:t>14.及时与越方沟通，明确越方最新要求。</w:t>
            </w:r>
          </w:p>
          <w:p>
            <w:pPr>
              <w:snapToGrid w:val="0"/>
              <w:jc w:val="left"/>
              <w:rPr>
                <w:rFonts w:hint="eastAsia"/>
              </w:rPr>
            </w:pPr>
            <w:r>
              <w:rPr>
                <w:rFonts w:hint="eastAsia"/>
              </w:rPr>
              <w:t>15.译员修改译稿。</w:t>
            </w:r>
          </w:p>
          <w:p>
            <w:pPr>
              <w:snapToGrid w:val="0"/>
              <w:jc w:val="left"/>
              <w:rPr>
                <w:rFonts w:hint="eastAsia"/>
              </w:rPr>
            </w:pPr>
            <w:r>
              <w:rPr>
                <w:rFonts w:hint="eastAsia"/>
              </w:rPr>
              <w:t>16.专业审稿，确保专业内容准确无误。</w:t>
            </w:r>
          </w:p>
          <w:p>
            <w:pPr>
              <w:snapToGrid w:val="0"/>
              <w:jc w:val="left"/>
              <w:rPr>
                <w:rFonts w:hint="eastAsia"/>
              </w:rPr>
            </w:pPr>
            <w:r>
              <w:rPr>
                <w:rFonts w:hint="eastAsia"/>
              </w:rPr>
              <w:t>17.语言审稿，确保译文语言流畅、优美。</w:t>
            </w:r>
          </w:p>
          <w:p>
            <w:pPr>
              <w:snapToGrid w:val="0"/>
              <w:jc w:val="left"/>
              <w:rPr>
                <w:rFonts w:hint="eastAsia"/>
              </w:rPr>
            </w:pPr>
            <w:r>
              <w:rPr>
                <w:rFonts w:hint="eastAsia"/>
              </w:rPr>
              <w:t>18.排版制作。</w:t>
            </w:r>
          </w:p>
          <w:p>
            <w:pPr>
              <w:snapToGrid w:val="0"/>
              <w:jc w:val="left"/>
              <w:rPr>
                <w:rFonts w:hint="eastAsia"/>
              </w:rPr>
            </w:pPr>
            <w:r>
              <w:rPr>
                <w:rFonts w:hint="eastAsia"/>
              </w:rPr>
              <w:t>19.向越方交出译稿。</w:t>
            </w:r>
          </w:p>
          <w:p>
            <w:pPr>
              <w:snapToGrid w:val="0"/>
              <w:jc w:val="left"/>
              <w:rPr>
                <w:rFonts w:hint="eastAsia"/>
              </w:rPr>
            </w:pPr>
            <w:r>
              <w:rPr>
                <w:rFonts w:hint="eastAsia"/>
              </w:rPr>
              <w:t>20.收集越方质量反馈意见。</w:t>
            </w:r>
          </w:p>
          <w:p>
            <w:pPr>
              <w:snapToGrid w:val="0"/>
              <w:jc w:val="left"/>
              <w:rPr>
                <w:rFonts w:hint="eastAsia"/>
              </w:rPr>
            </w:pPr>
            <w:r>
              <w:rPr>
                <w:rFonts w:hint="eastAsia"/>
              </w:rPr>
              <w:t>21.修改译稿。</w:t>
            </w:r>
          </w:p>
          <w:p>
            <w:pPr>
              <w:snapToGrid w:val="0"/>
              <w:jc w:val="left"/>
              <w:rPr>
                <w:rFonts w:hint="eastAsia"/>
              </w:rPr>
            </w:pPr>
            <w:r>
              <w:rPr>
                <w:rFonts w:hint="eastAsia"/>
              </w:rPr>
              <w:t>22.二次排版制作。</w:t>
            </w:r>
          </w:p>
          <w:p>
            <w:pPr>
              <w:snapToGrid w:val="0"/>
              <w:jc w:val="left"/>
              <w:rPr>
                <w:rFonts w:hint="eastAsia"/>
              </w:rPr>
            </w:pPr>
            <w:r>
              <w:rPr>
                <w:rFonts w:hint="eastAsia"/>
              </w:rPr>
              <w:t>23.向越方提交最终译稿。</w:t>
            </w:r>
          </w:p>
          <w:p>
            <w:pPr>
              <w:snapToGrid w:val="0"/>
              <w:jc w:val="left"/>
              <w:rPr>
                <w:rFonts w:hint="eastAsia"/>
              </w:rPr>
            </w:pPr>
          </w:p>
          <w:p>
            <w:pPr>
              <w:snapToGrid w:val="0"/>
              <w:jc w:val="left"/>
              <w:rPr>
                <w:rFonts w:hint="eastAsia"/>
                <w:szCs w:val="21"/>
              </w:rPr>
            </w:pPr>
            <w:r>
              <w:rPr>
                <w:rFonts w:hint="eastAsia"/>
                <w:szCs w:val="21"/>
              </w:rPr>
              <w:t>二．项目实施过程中举办的研讨会、培训等会务、培训和交传翻译</w:t>
            </w:r>
          </w:p>
          <w:p>
            <w:pPr>
              <w:snapToGrid w:val="0"/>
              <w:jc w:val="left"/>
              <w:rPr>
                <w:rFonts w:hint="eastAsia"/>
                <w:szCs w:val="21"/>
              </w:rPr>
            </w:pPr>
            <w:r>
              <w:rPr>
                <w:szCs w:val="21"/>
              </w:rPr>
              <w:t>1.专家评审会议，对职业标准申报院校进行评审和指导，审核申报材料，听取汇报。</w:t>
            </w:r>
          </w:p>
          <w:p>
            <w:pPr>
              <w:snapToGrid w:val="0"/>
              <w:jc w:val="left"/>
              <w:rPr>
                <w:rFonts w:hint="eastAsia"/>
                <w:szCs w:val="21"/>
              </w:rPr>
            </w:pPr>
            <w:r>
              <w:rPr>
                <w:szCs w:val="21"/>
              </w:rPr>
              <w:t>2.职业标准撰写过程性会议指导，培训。</w:t>
            </w:r>
          </w:p>
          <w:p>
            <w:pPr>
              <w:snapToGrid w:val="0"/>
              <w:jc w:val="left"/>
              <w:rPr>
                <w:rFonts w:hint="eastAsia"/>
                <w:szCs w:val="21"/>
              </w:rPr>
            </w:pPr>
            <w:r>
              <w:rPr>
                <w:szCs w:val="21"/>
              </w:rPr>
              <w:t>3.职业标准（越方）通识材料下发。</w:t>
            </w:r>
          </w:p>
          <w:p>
            <w:pPr>
              <w:snapToGrid w:val="0"/>
              <w:jc w:val="left"/>
              <w:rPr>
                <w:rFonts w:hint="eastAsia"/>
                <w:szCs w:val="21"/>
              </w:rPr>
            </w:pPr>
            <w:r>
              <w:rPr>
                <w:szCs w:val="21"/>
              </w:rPr>
              <w:t>4.职业标准、专业教学标准的模板下发。</w:t>
            </w:r>
          </w:p>
          <w:p>
            <w:pPr>
              <w:snapToGrid w:val="0"/>
              <w:jc w:val="left"/>
              <w:rPr>
                <w:rFonts w:hint="eastAsia"/>
                <w:szCs w:val="21"/>
              </w:rPr>
            </w:pPr>
            <w:r>
              <w:rPr>
                <w:szCs w:val="21"/>
              </w:rPr>
              <w:t>5.双方专家沟通会，越南专家介绍越南的教育体系。</w:t>
            </w:r>
          </w:p>
          <w:p>
            <w:pPr>
              <w:snapToGrid w:val="0"/>
              <w:jc w:val="left"/>
              <w:rPr>
                <w:rFonts w:hint="eastAsia"/>
                <w:szCs w:val="21"/>
              </w:rPr>
            </w:pPr>
            <w:r>
              <w:rPr>
                <w:szCs w:val="21"/>
              </w:rPr>
              <w:t>6.介绍越南的职业教育技能框架。</w:t>
            </w:r>
          </w:p>
          <w:p>
            <w:pPr>
              <w:snapToGrid w:val="0"/>
              <w:jc w:val="left"/>
              <w:rPr>
                <w:rFonts w:hint="eastAsia"/>
                <w:szCs w:val="21"/>
              </w:rPr>
            </w:pPr>
            <w:r>
              <w:rPr>
                <w:szCs w:val="21"/>
              </w:rPr>
              <w:t>7.介绍职业标准开发和修订的流程。</w:t>
            </w:r>
          </w:p>
          <w:p>
            <w:pPr>
              <w:snapToGrid w:val="0"/>
              <w:jc w:val="left"/>
              <w:rPr>
                <w:rFonts w:hint="eastAsia"/>
                <w:szCs w:val="21"/>
              </w:rPr>
            </w:pPr>
            <w:r>
              <w:rPr>
                <w:szCs w:val="21"/>
              </w:rPr>
              <w:t>8.组织学校与越南专家组沟通会议，根据实际情况组织</w:t>
            </w:r>
            <w:r>
              <w:rPr>
                <w:rFonts w:hint="eastAsia"/>
                <w:szCs w:val="21"/>
              </w:rPr>
              <w:t>1</w:t>
            </w:r>
            <w:r>
              <w:rPr>
                <w:szCs w:val="21"/>
              </w:rPr>
              <w:t>-</w:t>
            </w:r>
            <w:r>
              <w:rPr>
                <w:rFonts w:hint="eastAsia"/>
                <w:szCs w:val="21"/>
              </w:rPr>
              <w:t>2</w:t>
            </w:r>
            <w:r>
              <w:rPr>
                <w:szCs w:val="21"/>
              </w:rPr>
              <w:t>场的国际会议。</w:t>
            </w:r>
          </w:p>
          <w:p>
            <w:pPr>
              <w:snapToGrid w:val="0"/>
              <w:jc w:val="left"/>
              <w:rPr>
                <w:rFonts w:hint="eastAsia"/>
                <w:szCs w:val="21"/>
              </w:rPr>
            </w:pPr>
            <w:r>
              <w:rPr>
                <w:szCs w:val="21"/>
              </w:rPr>
              <w:t>9.组建各职业标准大队群，搭建大队研讨会平台。</w:t>
            </w:r>
          </w:p>
          <w:p>
            <w:pPr>
              <w:snapToGrid w:val="0"/>
              <w:jc w:val="left"/>
              <w:rPr>
                <w:rFonts w:hint="eastAsia"/>
                <w:szCs w:val="21"/>
              </w:rPr>
            </w:pPr>
            <w:r>
              <w:rPr>
                <w:szCs w:val="21"/>
              </w:rPr>
              <w:t>10.组织各院校开题报告会。</w:t>
            </w:r>
          </w:p>
          <w:p>
            <w:pPr>
              <w:pStyle w:val="5"/>
              <w:rPr>
                <w:rFonts w:hint="eastAsia"/>
                <w:szCs w:val="21"/>
              </w:rPr>
            </w:pPr>
          </w:p>
          <w:p>
            <w:pPr>
              <w:rPr>
                <w:rFonts w:hint="eastAsia"/>
                <w:szCs w:val="21"/>
              </w:rPr>
            </w:pPr>
            <w:r>
              <w:rPr>
                <w:rFonts w:hint="eastAsia"/>
                <w:szCs w:val="21"/>
              </w:rPr>
              <w:t>三．秘书处组建的中外双方专家工作组人员</w:t>
            </w:r>
          </w:p>
          <w:p>
            <w:pPr>
              <w:snapToGrid w:val="0"/>
              <w:jc w:val="left"/>
              <w:rPr>
                <w:rFonts w:hint="eastAsia"/>
                <w:szCs w:val="21"/>
              </w:rPr>
            </w:pPr>
            <w:r>
              <w:rPr>
                <w:szCs w:val="21"/>
              </w:rPr>
              <w:t>1.中方评审专家：</w:t>
            </w:r>
          </w:p>
          <w:p>
            <w:pPr>
              <w:snapToGrid w:val="0"/>
              <w:jc w:val="left"/>
              <w:rPr>
                <w:rFonts w:hint="eastAsia"/>
                <w:szCs w:val="21"/>
              </w:rPr>
            </w:pPr>
            <w:r>
              <w:rPr>
                <w:szCs w:val="21"/>
              </w:rPr>
              <w:t>将学校的申请表提前7天发送给每位专家。专家在评审会议之前对所参与的学校进行深入了解。</w:t>
            </w:r>
          </w:p>
          <w:p>
            <w:pPr>
              <w:snapToGrid w:val="0"/>
              <w:jc w:val="left"/>
              <w:rPr>
                <w:rFonts w:hint="eastAsia"/>
                <w:szCs w:val="21"/>
              </w:rPr>
            </w:pPr>
            <w:r>
              <w:rPr>
                <w:szCs w:val="21"/>
              </w:rPr>
              <w:t>参加评审前的专家预备会议。接受越南的工作指导。对评审要求进一步规范。</w:t>
            </w:r>
          </w:p>
          <w:p>
            <w:pPr>
              <w:snapToGrid w:val="0"/>
              <w:jc w:val="left"/>
              <w:rPr>
                <w:rFonts w:hint="eastAsia"/>
                <w:szCs w:val="21"/>
              </w:rPr>
            </w:pPr>
            <w:r>
              <w:rPr>
                <w:szCs w:val="21"/>
              </w:rPr>
              <w:t>所有评审专家意见收集汇总之后，召开评审组长会议，对评审结果进行最终确认。</w:t>
            </w:r>
          </w:p>
          <w:p>
            <w:pPr>
              <w:snapToGrid w:val="0"/>
              <w:jc w:val="left"/>
              <w:rPr>
                <w:rFonts w:hint="eastAsia"/>
                <w:szCs w:val="21"/>
              </w:rPr>
            </w:pPr>
            <w:r>
              <w:rPr>
                <w:szCs w:val="21"/>
              </w:rPr>
              <w:t>评审结果交进行最终确认。</w:t>
            </w:r>
          </w:p>
          <w:p>
            <w:pPr>
              <w:snapToGrid w:val="0"/>
              <w:jc w:val="left"/>
              <w:rPr>
                <w:rFonts w:hint="eastAsia"/>
                <w:szCs w:val="21"/>
              </w:rPr>
            </w:pPr>
            <w:r>
              <w:rPr>
                <w:szCs w:val="21"/>
              </w:rPr>
              <w:t>确认结果公示三天，公示无异议，发出最终结果通知。</w:t>
            </w:r>
          </w:p>
          <w:p>
            <w:pPr>
              <w:snapToGrid w:val="0"/>
              <w:jc w:val="left"/>
              <w:rPr>
                <w:rFonts w:hint="eastAsia"/>
                <w:szCs w:val="21"/>
              </w:rPr>
            </w:pPr>
            <w:r>
              <w:rPr>
                <w:szCs w:val="21"/>
              </w:rPr>
              <w:t>2.越南标准开发过程性指导专家：部分越南专家名单，根据项目情况适当增加或调整专家。</w:t>
            </w:r>
          </w:p>
          <w:p>
            <w:pPr>
              <w:snapToGrid w:val="0"/>
              <w:jc w:val="left"/>
              <w:rPr>
                <w:rFonts w:hint="eastAsia"/>
                <w:szCs w:val="21"/>
              </w:rPr>
            </w:pPr>
            <w:r>
              <w:rPr>
                <w:szCs w:val="21"/>
              </w:rPr>
              <w:t xml:space="preserve">3.中方标准开发过程性指导。  </w:t>
            </w:r>
          </w:p>
          <w:p>
            <w:pPr>
              <w:pStyle w:val="5"/>
              <w:rPr>
                <w:rFonts w:hint="eastAsia"/>
                <w:szCs w:val="21"/>
              </w:rPr>
            </w:pPr>
          </w:p>
          <w:p>
            <w:pPr>
              <w:rPr>
                <w:rFonts w:hint="eastAsia"/>
                <w:szCs w:val="21"/>
              </w:rPr>
            </w:pPr>
            <w:r>
              <w:rPr>
                <w:rFonts w:hint="eastAsia"/>
                <w:szCs w:val="21"/>
              </w:rPr>
              <w:t>四．标准纳入越南国家职业教育体系的认证和管理</w:t>
            </w:r>
          </w:p>
          <w:p>
            <w:pPr>
              <w:snapToGrid w:val="0"/>
              <w:jc w:val="left"/>
              <w:rPr>
                <w:rFonts w:hint="eastAsia"/>
                <w:szCs w:val="21"/>
              </w:rPr>
            </w:pPr>
            <w:r>
              <w:rPr>
                <w:szCs w:val="21"/>
              </w:rPr>
              <w:t>1.越方专家组对职业标准和专业教学标准进行第一次审核，中方撰写单位进行修改。</w:t>
            </w:r>
          </w:p>
          <w:p>
            <w:pPr>
              <w:snapToGrid w:val="0"/>
              <w:jc w:val="left"/>
              <w:rPr>
                <w:rFonts w:hint="eastAsia"/>
                <w:szCs w:val="21"/>
              </w:rPr>
            </w:pPr>
            <w:r>
              <w:rPr>
                <w:szCs w:val="21"/>
              </w:rPr>
              <w:t>2.越方专家组对职业标准和专业教学标准进行第二次审核，中方撰写单位进行修改，有可能要进行多次修订审核。</w:t>
            </w:r>
          </w:p>
          <w:p>
            <w:pPr>
              <w:snapToGrid w:val="0"/>
              <w:jc w:val="left"/>
              <w:rPr>
                <w:rFonts w:hint="eastAsia"/>
                <w:szCs w:val="21"/>
              </w:rPr>
            </w:pPr>
            <w:r>
              <w:rPr>
                <w:szCs w:val="21"/>
              </w:rPr>
              <w:t>3.通过修订审核形成终稿后，向中方专家组递交审核。</w:t>
            </w:r>
          </w:p>
          <w:p>
            <w:pPr>
              <w:snapToGrid w:val="0"/>
              <w:jc w:val="left"/>
              <w:rPr>
                <w:rFonts w:hint="eastAsia"/>
                <w:szCs w:val="21"/>
              </w:rPr>
            </w:pPr>
            <w:r>
              <w:rPr>
                <w:szCs w:val="21"/>
              </w:rPr>
              <w:t>4.中方专家组进行标准内容的审定和提出最终意见，需要修改或定稿，最终</w:t>
            </w:r>
            <w:r>
              <w:rPr>
                <w:rFonts w:hint="eastAsia"/>
                <w:szCs w:val="21"/>
              </w:rPr>
              <w:t>以</w:t>
            </w:r>
            <w:r>
              <w:rPr>
                <w:szCs w:val="21"/>
              </w:rPr>
              <w:t>终稿向越南提出认证申请。</w:t>
            </w:r>
          </w:p>
          <w:p>
            <w:pPr>
              <w:snapToGrid w:val="0"/>
              <w:jc w:val="left"/>
              <w:rPr>
                <w:rFonts w:hint="eastAsia"/>
                <w:szCs w:val="21"/>
              </w:rPr>
            </w:pPr>
            <w:r>
              <w:rPr>
                <w:szCs w:val="21"/>
              </w:rPr>
              <w:t>4.越方受理申请，进行终审。</w:t>
            </w:r>
          </w:p>
          <w:p>
            <w:pPr>
              <w:snapToGrid w:val="0"/>
              <w:jc w:val="left"/>
              <w:rPr>
                <w:rFonts w:hint="eastAsia"/>
                <w:szCs w:val="21"/>
              </w:rPr>
            </w:pPr>
            <w:r>
              <w:rPr>
                <w:szCs w:val="21"/>
              </w:rPr>
              <w:t>5.审核通过后，在越南</w:t>
            </w:r>
            <w:r>
              <w:rPr>
                <w:rFonts w:hint="eastAsia"/>
                <w:szCs w:val="21"/>
              </w:rPr>
              <w:t>主管部门</w:t>
            </w:r>
            <w:r>
              <w:rPr>
                <w:szCs w:val="21"/>
              </w:rPr>
              <w:t>进行公布。</w:t>
            </w:r>
          </w:p>
          <w:p>
            <w:pPr>
              <w:snapToGrid w:val="0"/>
              <w:jc w:val="left"/>
              <w:rPr>
                <w:rFonts w:hint="eastAsia"/>
                <w:szCs w:val="21"/>
              </w:rPr>
            </w:pPr>
            <w:r>
              <w:rPr>
                <w:szCs w:val="21"/>
              </w:rPr>
              <w:t>6.越南</w:t>
            </w:r>
            <w:r>
              <w:rPr>
                <w:rFonts w:hint="eastAsia"/>
                <w:szCs w:val="21"/>
              </w:rPr>
              <w:t>主管部门</w:t>
            </w:r>
            <w:r>
              <w:rPr>
                <w:szCs w:val="21"/>
              </w:rPr>
              <w:t>出具证书，颁发给学校。</w:t>
            </w:r>
          </w:p>
          <w:p>
            <w:pPr>
              <w:snapToGrid w:val="0"/>
              <w:jc w:val="left"/>
              <w:rPr>
                <w:rFonts w:hint="eastAsia" w:ascii="仿宋" w:hAnsi="仿宋" w:cs="宋体"/>
                <w:kern w:val="0"/>
                <w:szCs w:val="28"/>
              </w:rPr>
            </w:pPr>
          </w:p>
        </w:tc>
        <w:tc>
          <w:tcPr>
            <w:tcW w:w="705" w:type="dxa"/>
            <w:vAlign w:val="center"/>
          </w:tcPr>
          <w:p>
            <w:pPr>
              <w:snapToGrid w:val="0"/>
              <w:jc w:val="center"/>
              <w:rPr>
                <w:rFonts w:hint="eastAsia" w:ascii="仿宋" w:hAnsi="仿宋" w:cs="宋体"/>
                <w:kern w:val="0"/>
                <w:szCs w:val="28"/>
              </w:rPr>
            </w:pPr>
            <w:r>
              <w:rPr>
                <w:rFonts w:hint="eastAsia" w:ascii="仿宋" w:hAnsi="仿宋" w:cs="宋体"/>
                <w:kern w:val="0"/>
                <w:szCs w:val="28"/>
              </w:rPr>
              <w:t>1</w:t>
            </w:r>
          </w:p>
        </w:tc>
        <w:tc>
          <w:tcPr>
            <w:tcW w:w="1005" w:type="dxa"/>
            <w:vAlign w:val="center"/>
          </w:tcPr>
          <w:p>
            <w:pPr>
              <w:widowControl/>
              <w:jc w:val="center"/>
              <w:rPr>
                <w:rFonts w:hint="eastAsia" w:ascii="仿宋" w:hAnsi="仿宋" w:cs="仿宋"/>
                <w:szCs w:val="28"/>
              </w:rPr>
            </w:pPr>
            <w:r>
              <w:rPr>
                <w:rFonts w:hint="eastAsia" w:ascii="仿宋" w:hAnsi="仿宋" w:cs="仿宋"/>
                <w:szCs w:val="28"/>
              </w:rPr>
              <w:t>16</w:t>
            </w:r>
          </w:p>
        </w:tc>
        <w:tc>
          <w:tcPr>
            <w:tcW w:w="1080" w:type="dxa"/>
            <w:vAlign w:val="center"/>
          </w:tcPr>
          <w:p>
            <w:pPr>
              <w:widowControl/>
              <w:jc w:val="center"/>
              <w:rPr>
                <w:rFonts w:hint="eastAsia" w:ascii="仿宋" w:hAnsi="仿宋" w:cs="仿宋"/>
                <w:szCs w:val="28"/>
              </w:rPr>
            </w:pPr>
            <w:r>
              <w:rPr>
                <w:rFonts w:hint="eastAsia" w:ascii="仿宋" w:hAnsi="仿宋" w:cs="仿宋"/>
                <w:szCs w:val="28"/>
              </w:rPr>
              <w:t>16</w:t>
            </w:r>
          </w:p>
        </w:tc>
        <w:tc>
          <w:tcPr>
            <w:tcW w:w="840" w:type="dxa"/>
            <w:vAlign w:val="center"/>
          </w:tcPr>
          <w:p>
            <w:pPr>
              <w:jc w:val="center"/>
              <w:rPr>
                <w:rFonts w:hint="eastAsia" w:cs="宋体"/>
                <w:sz w:val="21"/>
                <w:szCs w:val="21"/>
              </w:rPr>
            </w:pPr>
            <w:r>
              <w:rPr>
                <w:rFonts w:hint="eastAsia" w:cs="宋体"/>
                <w:sz w:val="21"/>
                <w:szCs w:val="21"/>
              </w:rPr>
              <w:t>/</w:t>
            </w:r>
          </w:p>
        </w:tc>
        <w:tc>
          <w:tcPr>
            <w:tcW w:w="1110" w:type="dxa"/>
            <w:vAlign w:val="center"/>
          </w:tcPr>
          <w:p>
            <w:pPr>
              <w:jc w:val="center"/>
              <w:rPr>
                <w:rFonts w:hint="eastAsia" w:cs="宋体"/>
                <w:sz w:val="21"/>
                <w:szCs w:val="21"/>
              </w:rPr>
            </w:pPr>
            <w:r>
              <w:rPr>
                <w:rFonts w:hint="eastAsia" w:ascii="仿宋" w:hAnsi="仿宋" w:cs="宋体"/>
                <w:kern w:val="0"/>
                <w:szCs w:val="28"/>
              </w:rPr>
              <w:t>《关于开展中国职业院校与越南国家共建行业岗位职业标准项目费用说明指导意见》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614" w:type="dxa"/>
            <w:gridSpan w:val="2"/>
          </w:tcPr>
          <w:p>
            <w:pPr>
              <w:jc w:val="center"/>
              <w:rPr>
                <w:rFonts w:hint="eastAsia" w:ascii="仿宋" w:hAnsi="仿宋" w:cs="仿宋"/>
                <w:sz w:val="24"/>
                <w:szCs w:val="24"/>
              </w:rPr>
            </w:pPr>
          </w:p>
        </w:tc>
        <w:tc>
          <w:tcPr>
            <w:tcW w:w="8656" w:type="dxa"/>
            <w:gridSpan w:val="6"/>
            <w:vAlign w:val="center"/>
          </w:tcPr>
          <w:p>
            <w:pPr>
              <w:jc w:val="center"/>
              <w:rPr>
                <w:rFonts w:hint="eastAsia" w:ascii="仿宋" w:hAnsi="仿宋" w:cs="仿宋"/>
                <w:sz w:val="24"/>
                <w:szCs w:val="24"/>
              </w:rPr>
            </w:pPr>
            <w:r>
              <w:rPr>
                <w:rFonts w:hint="eastAsia" w:ascii="仿宋" w:hAnsi="仿宋" w:cs="宋体"/>
                <w:kern w:val="0"/>
                <w:szCs w:val="28"/>
              </w:rPr>
              <w:t>合计：320000元（叁拾贰万元）</w:t>
            </w:r>
          </w:p>
        </w:tc>
      </w:tr>
    </w:tbl>
    <w:p>
      <w:pPr>
        <w:snapToGrid w:val="0"/>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bCs/>
          <w:sz w:val="24"/>
        </w:rPr>
        <w:t>1.投标人须对本项目为单位的采购标的进行整体响应，任何只对采购标的其中一部分内容进行的响应都被视为无效投标。</w:t>
      </w:r>
    </w:p>
    <w:p>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投标人报价需满足用户需求书中所列的技术参数要求，如有涉及到产品的具体品牌、型号的，仅供投标人投标参考，并无指定，投标人可选用技术参数优于或等于的货物进行投标，并列明详细的技术参数、品牌、型号及生产厂家等。</w:t>
      </w:r>
    </w:p>
    <w:p>
      <w:pPr>
        <w:snapToGrid w:val="0"/>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lang w:val="en-US" w:eastAsia="zh-CN"/>
        </w:rPr>
        <w:t>3</w:t>
      </w:r>
      <w:r>
        <w:rPr>
          <w:rFonts w:hint="eastAsia" w:asciiTheme="minorEastAsia" w:hAnsiTheme="minorEastAsia" w:cstheme="minorEastAsia"/>
          <w:bCs/>
          <w:sz w:val="24"/>
        </w:rPr>
        <w:t>.投标报价（总价）中不得包含招标文件要求以外的内容，否则，在评标时不予核减。若投标报价有缺漏项的，缺漏项部分的价格视为已包含在投标报价中，中标后不作任何调整。</w:t>
      </w:r>
    </w:p>
    <w:p>
      <w:pPr>
        <w:ind w:firstLine="400" w:firstLineChars="200"/>
        <w:rPr>
          <w:rFonts w:ascii="Times New Roman" w:hAnsi="Times New Roman" w:eastAsia="宋体" w:cs="Times New Roman"/>
          <w:sz w:val="20"/>
        </w:rPr>
      </w:pPr>
    </w:p>
    <w:p>
      <w:pPr>
        <w:ind w:firstLine="400" w:firstLineChars="200"/>
        <w:rPr>
          <w:rFonts w:ascii="Times New Roman" w:hAnsi="Times New Roman" w:eastAsia="宋体" w:cs="Times New Roman"/>
          <w:sz w:val="20"/>
        </w:rPr>
      </w:pPr>
    </w:p>
    <w:p>
      <w:pPr>
        <w:ind w:firstLine="400" w:firstLineChars="200"/>
        <w:rPr>
          <w:rFonts w:ascii="Times New Roman" w:hAnsi="Times New Roman" w:eastAsia="宋体" w:cs="Times New Roman"/>
          <w:sz w:val="20"/>
        </w:rPr>
      </w:pPr>
    </w:p>
    <w:p>
      <w:pPr>
        <w:ind w:firstLine="400" w:firstLineChars="200"/>
        <w:rPr>
          <w:rFonts w:ascii="Times New Roman" w:hAnsi="Times New Roman" w:eastAsia="宋体" w:cs="Times New Roman"/>
          <w:sz w:val="20"/>
        </w:rPr>
      </w:pPr>
    </w:p>
    <w:p>
      <w:pPr>
        <w:numPr>
          <w:ilvl w:val="0"/>
          <w:numId w:val="1"/>
        </w:numPr>
        <w:spacing w:after="156" w:afterLines="50"/>
        <w:ind w:firstLine="562"/>
        <w:rPr>
          <w:rFonts w:asciiTheme="minorEastAsia" w:hAnsiTheme="minorEastAsia" w:cstheme="minorEastAsia"/>
          <w:b/>
          <w:sz w:val="28"/>
          <w:szCs w:val="28"/>
        </w:rPr>
      </w:pPr>
      <w:r>
        <w:rPr>
          <w:rFonts w:hint="eastAsia" w:asciiTheme="minorEastAsia" w:hAnsiTheme="minorEastAsia" w:cstheme="minorEastAsia"/>
          <w:b/>
          <w:sz w:val="28"/>
          <w:szCs w:val="28"/>
        </w:rPr>
        <w:t>项目商务需求</w:t>
      </w:r>
    </w:p>
    <w:tbl>
      <w:tblPr>
        <w:tblStyle w:val="3"/>
        <w:tblW w:w="10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9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jc w:val="center"/>
        </w:trPr>
        <w:tc>
          <w:tcPr>
            <w:tcW w:w="1363" w:type="dxa"/>
            <w:vAlign w:val="center"/>
          </w:tcPr>
          <w:p>
            <w:pPr>
              <w:pStyle w:val="6"/>
              <w:overflowPunct w:val="0"/>
              <w:spacing w:line="360" w:lineRule="exact"/>
              <w:ind w:left="3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总体要求</w:t>
            </w:r>
          </w:p>
        </w:tc>
        <w:tc>
          <w:tcPr>
            <w:tcW w:w="9407" w:type="dxa"/>
            <w:vAlign w:val="center"/>
          </w:tcPr>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1.甲方乙方的权利和义务</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（1）甲方的权利和义务：</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1）在项目实施过程中，如甲方有咨询或异议，乙方应于3个工作日内予以答复。</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2）甲方有权监督乙方实施项目的进展情况，并提出整改意见。</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3）甲方有权确定项目是否通过验收。</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（2）乙方的权利和义务：</w:t>
            </w:r>
          </w:p>
          <w:p>
            <w:pPr>
              <w:pStyle w:val="6"/>
              <w:tabs>
                <w:tab w:val="left" w:pos="430"/>
              </w:tabs>
              <w:overflowPunct w:val="0"/>
              <w:spacing w:line="360" w:lineRule="exact"/>
              <w:ind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 xml:space="preserve"> 1）乙方应诚实、勤勉，以专业水平配合甲方实施项目。</w:t>
            </w:r>
          </w:p>
          <w:p>
            <w:pPr>
              <w:pStyle w:val="6"/>
              <w:tabs>
                <w:tab w:val="left" w:pos="430"/>
              </w:tabs>
              <w:overflowPunct w:val="0"/>
              <w:spacing w:line="360" w:lineRule="exact"/>
              <w:ind w:right="80" w:rightChars="38" w:firstLine="550" w:firstLineChars="25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2）乙方应保证有充足的专业资源与人力资源支持本项目运行。</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3）如非法定情形，乙方不得在未取得甲方事先书面同意的前提下变更或减少实施项目的内容。</w:t>
            </w:r>
          </w:p>
          <w:p>
            <w:pPr>
              <w:pStyle w:val="6"/>
              <w:tabs>
                <w:tab w:val="left" w:pos="430"/>
              </w:tabs>
              <w:overflowPunct w:val="0"/>
              <w:spacing w:line="360" w:lineRule="exact"/>
              <w:ind w:right="80" w:rightChars="38" w:firstLine="550" w:firstLineChars="25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4）乙方工作人员配合甲方期间，乙方人员的安全健康问题由乙方负责。</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2.保密</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（1）乙方应签订保密协议，对其因身份、职务、职业或技术关系而知悉的甲方商业秘密和党政机关保密信息应严格保守，保证不被披露或使用，包括意外或过失。</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乙方不得以竞争为目的、或出于私利、或为第三人谋利而擅自保存、披露、使用甲方商业秘密和党政机关保密信息；不得直接或间接地向无关人员泄露甲方的商业秘密和党政机关保密信息；不得向不承担保密义务的任何第三人披露甲方的商业秘密和党政机关保密信息。乙方在从事政府项目时，不得擅自记录、复制、拍摄、摘抄、收藏在工作中涉及的保密信息，严禁将涉及政府项目的任何资料、数据透露或以其他方式提供给项目以外的其他方或乙方内部与该项目无关的任何人员。</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乙方对于工作期间知悉甲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（4）严禁泄露在工作中接触到的政府机关科技研究、发明、装备器材及其技术资料和政府工作信息。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3" w:type="dxa"/>
            <w:vAlign w:val="center"/>
          </w:tcPr>
          <w:p>
            <w:pPr>
              <w:pStyle w:val="6"/>
              <w:overflowPunct w:val="0"/>
              <w:spacing w:line="360" w:lineRule="exact"/>
              <w:ind w:left="38" w:leftChars="1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服务要求</w:t>
            </w:r>
          </w:p>
        </w:tc>
        <w:tc>
          <w:tcPr>
            <w:tcW w:w="9407" w:type="dxa"/>
            <w:vAlign w:val="center"/>
          </w:tcPr>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1.知识产权归属</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乙方必须保证甲方在中华人民共和国境内使用投标资料、服务或其任何一部分时，享有不受限制的无偿使用权，不会产生因第三方提出侵犯其专利权、商标权或其它知识产权而引起的法律或经济纠纷。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jc w:val="center"/>
        </w:trPr>
        <w:tc>
          <w:tcPr>
            <w:tcW w:w="1363" w:type="dxa"/>
            <w:vAlign w:val="center"/>
          </w:tcPr>
          <w:p>
            <w:pPr>
              <w:pStyle w:val="6"/>
              <w:overflowPunct w:val="0"/>
              <w:spacing w:line="360" w:lineRule="exact"/>
              <w:ind w:left="38" w:leftChars="1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售后服务保障要求</w:t>
            </w:r>
          </w:p>
        </w:tc>
        <w:tc>
          <w:tcPr>
            <w:tcW w:w="9407" w:type="dxa"/>
            <w:vAlign w:val="center"/>
          </w:tcPr>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 xml:space="preserve">1.甲方有权根据调查的需要变化对乙方提供的基本问卷模版进行调整，增加或更改3-5个调查问题。 </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 xml:space="preserve">2.甲方所提供的学生信息、企业信息仅用于该调研项目，且被调查的学生信息、企业信息不可披露给除乙方以外的任何第三方；未经甲方允许，不得向任何第三方提供或公布由甲方提供的信息和评价报告；在项目完全结束后，乙方须将用于该项目调查的学生个人信息永久删除。 </w:t>
            </w:r>
          </w:p>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3.项目生成的所有研究成果知识产权属于甲方所有。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1363" w:type="dxa"/>
            <w:vAlign w:val="center"/>
          </w:tcPr>
          <w:p>
            <w:pPr>
              <w:pStyle w:val="6"/>
              <w:overflowPunct w:val="0"/>
              <w:spacing w:line="360" w:lineRule="exact"/>
              <w:ind w:left="38" w:leftChars="18" w:right="38" w:rightChars="18"/>
              <w:jc w:val="center"/>
              <w:rPr>
                <w:rFonts w:hint="default" w:asciiTheme="minorEastAsia" w:hAnsiTheme="minorEastAsia" w:eastAsiaTheme="minorEastAsia" w:cstheme="minorEastAsia"/>
                <w:bCs/>
                <w:sz w:val="22"/>
                <w:szCs w:val="22"/>
              </w:rPr>
            </w:pPr>
            <w:r>
              <w:rPr>
                <w:rFonts w:asciiTheme="minorEastAsia" w:hAnsiTheme="minorEastAsia" w:eastAsiaTheme="minorEastAsia" w:cstheme="minorEastAsia"/>
                <w:bCs/>
                <w:sz w:val="22"/>
                <w:szCs w:val="22"/>
              </w:rPr>
              <w:t>质量要求</w:t>
            </w:r>
          </w:p>
        </w:tc>
        <w:tc>
          <w:tcPr>
            <w:tcW w:w="9407" w:type="dxa"/>
            <w:vAlign w:val="center"/>
          </w:tcPr>
          <w:p>
            <w:pPr>
              <w:pStyle w:val="6"/>
              <w:tabs>
                <w:tab w:val="left" w:pos="430"/>
              </w:tabs>
              <w:overflowPunct w:val="0"/>
              <w:spacing w:line="360" w:lineRule="exact"/>
              <w:ind w:left="80" w:leftChars="38" w:right="80" w:rightChars="38" w:firstLine="440" w:firstLineChars="200"/>
              <w:rPr>
                <w:rFonts w:hint="default"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项目要按约定输出对应的成果，如出现非因甲方原因引起的成果质量问题，由乙方负责。（费用由乙方负责）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spacing w:line="360" w:lineRule="exact"/>
              <w:jc w:val="center"/>
              <w:rPr>
                <w:rFonts w:asciiTheme="minorEastAsia" w:hAnsiTheme="minorEastAsia" w:cstheme="minorEastAsia"/>
                <w:sz w:val="22"/>
                <w:szCs w:val="22"/>
              </w:rPr>
            </w:pPr>
            <w:r>
              <w:rPr>
                <w:rFonts w:hint="eastAsia" w:asciiTheme="minorEastAsia" w:hAnsiTheme="minorEastAsia" w:cstheme="minorEastAsia"/>
                <w:sz w:val="22"/>
                <w:szCs w:val="22"/>
              </w:rPr>
              <w:t>报价要求</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报价是履行合同的最终价格，报价已包括了完成本项目服务工作所需的所有费用，包括但不限于技术服务费、税费、项目外出调研人员的住宿费、交通费、差旅费等。</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注：乙方自行考虑完成项目所需的费用，报价中应包含全部内容， 成交后甲方不再另行支付额外费用。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363" w:type="dxa"/>
            <w:vAlign w:val="center"/>
          </w:tcPr>
          <w:p>
            <w:pPr>
              <w:spacing w:line="360" w:lineRule="exact"/>
              <w:jc w:val="center"/>
              <w:rPr>
                <w:rFonts w:asciiTheme="minorEastAsia" w:hAnsiTheme="minorEastAsia" w:cstheme="minorEastAsia"/>
                <w:bCs/>
                <w:sz w:val="22"/>
                <w:szCs w:val="22"/>
              </w:rPr>
            </w:pPr>
            <w:r>
              <w:rPr>
                <w:rFonts w:hint="eastAsia" w:asciiTheme="minorEastAsia" w:hAnsiTheme="minorEastAsia" w:cstheme="minorEastAsia"/>
                <w:sz w:val="22"/>
                <w:szCs w:val="22"/>
                <w:lang w:val="zh-CN"/>
              </w:rPr>
              <w:t>交货时间及地点</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1.交货时间：乙方自合同签订之日起</w:t>
            </w:r>
            <w:r>
              <w:rPr>
                <w:rFonts w:hint="eastAsia" w:asciiTheme="minorEastAsia" w:hAnsiTheme="minorEastAsia" w:cstheme="minorEastAsia"/>
                <w:sz w:val="22"/>
                <w:szCs w:val="22"/>
                <w:highlight w:val="none"/>
                <w:lang w:val="en-US" w:eastAsia="zh-CN"/>
              </w:rPr>
              <w:t>2</w:t>
            </w:r>
            <w:r>
              <w:rPr>
                <w:rFonts w:hint="eastAsia" w:asciiTheme="minorEastAsia" w:hAnsiTheme="minorEastAsia" w:cstheme="minorEastAsia"/>
                <w:sz w:val="22"/>
                <w:szCs w:val="22"/>
              </w:rPr>
              <w:t>个月之内完成项目实施且交付并验收合格。</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2.交货地点：甲方指定地点。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spacing w:line="360" w:lineRule="exact"/>
              <w:jc w:val="center"/>
              <w:rPr>
                <w:rFonts w:asciiTheme="minorEastAsia" w:hAnsiTheme="minorEastAsia" w:cstheme="minorEastAsia"/>
                <w:bCs/>
                <w:sz w:val="22"/>
                <w:szCs w:val="22"/>
              </w:rPr>
            </w:pPr>
            <w:r>
              <w:rPr>
                <w:rFonts w:hint="eastAsia" w:asciiTheme="minorEastAsia" w:hAnsiTheme="minorEastAsia" w:cstheme="minorEastAsia"/>
                <w:sz w:val="22"/>
                <w:szCs w:val="22"/>
              </w:rPr>
              <w:t>付款方式</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付款方式：按甲方规定程序办理</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项目完成并验收合格交付后，</w:t>
            </w:r>
            <w:r>
              <w:rPr>
                <w:rFonts w:hint="eastAsia" w:asciiTheme="minorEastAsia" w:hAnsiTheme="minorEastAsia" w:cstheme="minorEastAsia"/>
                <w:sz w:val="22"/>
                <w:szCs w:val="22"/>
                <w:lang w:val="zh-CN"/>
              </w:rPr>
              <w:t>甲方</w:t>
            </w:r>
            <w:r>
              <w:rPr>
                <w:rFonts w:hint="eastAsia" w:asciiTheme="minorEastAsia" w:hAnsiTheme="minorEastAsia" w:cstheme="minorEastAsia"/>
                <w:sz w:val="22"/>
                <w:szCs w:val="22"/>
              </w:rPr>
              <w:t>在30日内付清合同金额。</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所支付的款项在乙方向甲方出具合格的增值税发票后30个日历日内办理付款手续。如乙方未按国家要求开具发票，或未按合同履约的，视为违约，</w:t>
            </w:r>
            <w:r>
              <w:rPr>
                <w:rFonts w:hint="eastAsia" w:asciiTheme="minorEastAsia" w:hAnsiTheme="minorEastAsia" w:cstheme="minorEastAsia"/>
                <w:sz w:val="22"/>
                <w:szCs w:val="22"/>
                <w:lang w:val="zh-CN"/>
              </w:rPr>
              <w:t>甲方</w:t>
            </w:r>
            <w:r>
              <w:rPr>
                <w:rFonts w:hint="eastAsia" w:asciiTheme="minorEastAsia" w:hAnsiTheme="minorEastAsia" w:cstheme="minorEastAsia"/>
                <w:sz w:val="22"/>
                <w:szCs w:val="22"/>
              </w:rPr>
              <w:t>有权扣除履约保证金或解除合同，并追究乙方法律责任。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pStyle w:val="2"/>
              <w:snapToGrid w:val="0"/>
              <w:spacing w:line="320" w:lineRule="exact"/>
              <w:jc w:val="center"/>
              <w:rPr>
                <w:rFonts w:asciiTheme="minorEastAsia" w:hAnsiTheme="minorEastAsia" w:cstheme="minorEastAsia"/>
                <w:bCs/>
                <w:sz w:val="22"/>
                <w:szCs w:val="22"/>
              </w:rPr>
            </w:pPr>
            <w:r>
              <w:rPr>
                <w:rFonts w:hint="eastAsia" w:asciiTheme="minorEastAsia" w:hAnsiTheme="minorEastAsia" w:cstheme="minorEastAsia"/>
                <w:kern w:val="2"/>
                <w:sz w:val="22"/>
                <w:szCs w:val="22"/>
              </w:rPr>
              <w:t>履约要求</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1、应本着诚实信用的原则参加采购活动。乙方成交后，应当按规定与甲方签订政府采购合同，并严格按合同履约。</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2.违约责任与赔偿损失</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（1）服务交付延误</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因乙方原因导致未能在约定期限内交付产品或服务的，乙方应从逾期之日起每日按对应产品或服务总价的3‰的数额向甲方支付违约金，逾期三十日以上的，甲方有权单方解除合同，乙方除应向甲方退还对应产品或服务的金额外，还应额外向甲方支付对应产品或服务总价20%的违约金。</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（2）服务违约责任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乙方服务期限内须严格遵守服务质量承诺及相关管理规定确保服务质量，对于违反服务质量承诺和服务水平约定造成服务质量下降的，乙方应向甲方承担相应的违约责任。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（3）保密违约责任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乙方违反保密条款的，应承担违约责任。如果给甲方造成经济损失，乙方应赔偿甲方的经济损失及承担甲方因此而支出的一切费用（包括但不限于律师费、案件受理费、执行费、差旅费等）；如果因乙方恶意泄露信息资料，给甲方造成严重后果的，除应赔偿甲方的经济损失及承担甲方因此而支出的一切费用外，甲方将通过法律手段追究乙方责任。</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（4）其它违约责任按《中华人民共和国民法典》处理。</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3.争端的解决</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合同执行过程中发生的任何争议，如双方不能通过友好协商解决，按相关法律法规处理。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63" w:type="dxa"/>
            <w:vAlign w:val="center"/>
          </w:tcPr>
          <w:p>
            <w:pPr>
              <w:snapToGrid w:val="0"/>
              <w:spacing w:line="320" w:lineRule="exact"/>
              <w:jc w:val="center"/>
              <w:rPr>
                <w:rFonts w:asciiTheme="minorEastAsia" w:hAnsiTheme="minorEastAsia" w:cstheme="minorEastAsia"/>
                <w:bCs/>
                <w:sz w:val="22"/>
                <w:szCs w:val="22"/>
              </w:rPr>
            </w:pPr>
            <w:r>
              <w:rPr>
                <w:rFonts w:hint="eastAsia" w:asciiTheme="minorEastAsia" w:hAnsiTheme="minorEastAsia" w:cstheme="minorEastAsia"/>
                <w:sz w:val="22"/>
                <w:szCs w:val="22"/>
              </w:rPr>
              <w:t>履约保证金</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合同签订前2日内，乙方须按甲方要求缴纳履约保证金，金额为成交金额的3%，履约保证金在所有服务验收合格并交付使用后自动转化为质量保证金，质量保证期内（质量保证期为1年）无质量问题且乙方能按服务承诺执行，则甲方在质量保证期后五个工作日内，全额退还，不计利息。如乙方未能按合同约定履行合同的，甲方有权没收全部履约保证金，并按合同相关条款追究乙方责任。如：</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（1）乙方提供的服务未达到其响应文件所承诺的；</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（2）乙方提供的服务侵犯了第三方合法权益而引发了纠纷或诉讼，或由于乙方自身原因导致无法按时交付使用的；</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（3）未按甲方要求和服务承诺及时到达现场更换，或拖延时间的，导致甲方不能按时发放的。</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履约保证金账户：</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名  称：广西农牧工程学校</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 xml:space="preserve">开户行：柳州农行沙塘分理处             </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账  号：20114801040000113</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转账时注明：××××项目履约保证金</w:t>
            </w:r>
          </w:p>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转账后持银行回执复印件、成交通知书及合同到广西农牧工程学校签定合同。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363" w:type="dxa"/>
            <w:vAlign w:val="center"/>
          </w:tcPr>
          <w:p>
            <w:pPr>
              <w:spacing w:line="360" w:lineRule="exact"/>
              <w:jc w:val="center"/>
              <w:rPr>
                <w:rFonts w:asciiTheme="minorEastAsia" w:hAnsiTheme="minorEastAsia" w:cstheme="minorEastAsia"/>
                <w:bCs/>
                <w:sz w:val="22"/>
                <w:szCs w:val="22"/>
                <w:highlight w:val="yellow"/>
              </w:rPr>
            </w:pPr>
            <w:r>
              <w:rPr>
                <w:rFonts w:hint="eastAsia" w:asciiTheme="minorEastAsia" w:hAnsiTheme="minorEastAsia" w:cstheme="minorEastAsia"/>
                <w:sz w:val="22"/>
                <w:szCs w:val="22"/>
              </w:rPr>
              <w:t>其他要求</w:t>
            </w:r>
          </w:p>
        </w:tc>
        <w:tc>
          <w:tcPr>
            <w:tcW w:w="9407" w:type="dxa"/>
            <w:vAlign w:val="center"/>
          </w:tcPr>
          <w:p>
            <w:pPr>
              <w:spacing w:line="360" w:lineRule="exact"/>
              <w:ind w:left="80" w:leftChars="38" w:right="80" w:rightChars="38" w:firstLine="440" w:firstLineChars="200"/>
              <w:rPr>
                <w:rFonts w:asciiTheme="minorEastAsia" w:hAnsiTheme="minorEastAsia" w:cstheme="minorEastAsia"/>
                <w:sz w:val="22"/>
                <w:szCs w:val="22"/>
              </w:rPr>
            </w:pPr>
            <w:r>
              <w:rPr>
                <w:rFonts w:hint="eastAsia" w:asciiTheme="minorEastAsia" w:hAnsiTheme="minorEastAsia" w:cstheme="minorEastAsia"/>
                <w:sz w:val="22"/>
                <w:szCs w:val="22"/>
              </w:rPr>
              <w:t>1.不可抗力</w:t>
            </w:r>
          </w:p>
          <w:p>
            <w:pPr>
              <w:spacing w:line="360" w:lineRule="exact"/>
              <w:ind w:left="80" w:leftChars="38" w:right="80" w:rightChars="38" w:firstLine="440" w:firstLineChars="200"/>
              <w:rPr>
                <w:rFonts w:asciiTheme="minorEastAsia" w:hAnsiTheme="minorEastAsia" w:cstheme="minorEastAsia"/>
                <w:sz w:val="22"/>
                <w:szCs w:val="22"/>
                <w:highlight w:val="yellow"/>
              </w:rPr>
            </w:pPr>
            <w:r>
              <w:rPr>
                <w:rFonts w:hint="eastAsia" w:asciiTheme="minorEastAsia" w:hAnsiTheme="minorEastAsia" w:cstheme="minorEastAsia"/>
                <w:sz w:val="22"/>
                <w:szCs w:val="22"/>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tc>
      </w:tr>
    </w:tbl>
    <w:p>
      <w:pPr>
        <w:spacing w:line="360" w:lineRule="auto"/>
        <w:rPr>
          <w:b/>
          <w:bCs/>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C52F8"/>
    <w:multiLevelType w:val="singleLevel"/>
    <w:tmpl w:val="C16C52F8"/>
    <w:lvl w:ilvl="0" w:tentative="0">
      <w:start w:val="1"/>
      <w:numFmt w:val="chineseCounting"/>
      <w:suff w:val="nothing"/>
      <w:lvlText w:val="%1、"/>
      <w:lvlJc w:val="left"/>
      <w:rPr>
        <w:rFonts w:hint="eastAsia" w:ascii="宋体" w:hAnsi="宋体" w:eastAsia="宋体" w:cstheme="minor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7BF35D84"/>
    <w:rsid w:val="7BF3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customStyle="1" w:styleId="5">
    <w:name w:val="BodyText"/>
    <w:basedOn w:val="1"/>
    <w:next w:val="1"/>
    <w:autoRedefine/>
    <w:qFormat/>
    <w:uiPriority w:val="0"/>
    <w:pPr>
      <w:spacing w:line="360" w:lineRule="auto"/>
    </w:pPr>
    <w:rPr>
      <w:sz w:val="24"/>
    </w:rPr>
  </w:style>
  <w:style w:type="paragraph" w:customStyle="1" w:styleId="6">
    <w:name w:val="Table Paragraph"/>
    <w:basedOn w:val="1"/>
    <w:autoRedefine/>
    <w:unhideWhenUsed/>
    <w:qFormat/>
    <w:uiPriority w:val="1"/>
    <w:rPr>
      <w:rFonts w:hint="eastAsia"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2024-10-08T06:49:00Z</dcterms:created>
  <dc:creator>Administrator</dc:creator>
  <cp:lastModifiedBy>Administrator</cp:lastModifiedBy>
  <dcterms:modified xsi:type="dcterms:W3CDTF">2024-10-08T06:49:43Z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1BE6D4AAC3B244ECB6D173C6A0BFF16B_11</vt:lpwstr>
  </property>
</Properties>
</file>