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bCs/>
          <w:sz w:val="28"/>
          <w:szCs w:val="36"/>
        </w:rPr>
      </w:pPr>
      <w:r>
        <w:rPr>
          <w:rFonts w:hint="eastAsia"/>
          <w:b/>
          <w:bCs/>
          <w:sz w:val="28"/>
          <w:szCs w:val="36"/>
        </w:rPr>
        <w:t>附件二：评标办法及评标标准</w:t>
      </w:r>
    </w:p>
    <w:p>
      <w:pPr>
        <w:spacing w:line="360" w:lineRule="auto"/>
        <w:ind w:firstLine="748" w:firstLineChars="266"/>
        <w:rPr>
          <w:b/>
          <w:sz w:val="28"/>
          <w:szCs w:val="28"/>
        </w:rPr>
      </w:pPr>
      <w:r>
        <w:rPr>
          <w:rFonts w:hint="eastAsia"/>
          <w:b/>
          <w:sz w:val="28"/>
          <w:szCs w:val="28"/>
        </w:rPr>
        <w:t>一、评标办法</w:t>
      </w:r>
    </w:p>
    <w:p>
      <w:pPr>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评审小组对供应商的报价、技术、商务等方面内容按百分制打分。（计分方法按四舍五入取至百分位）</w:t>
      </w:r>
    </w:p>
    <w:p>
      <w:pPr>
        <w:pStyle w:val="2"/>
        <w:spacing w:line="360" w:lineRule="exact"/>
        <w:ind w:firstLine="753" w:firstLineChars="268"/>
        <w:rPr>
          <w:rFonts w:hAnsi="宋体" w:cs="宋体"/>
          <w:b/>
          <w:bCs/>
          <w:sz w:val="28"/>
          <w:szCs w:val="28"/>
        </w:rPr>
      </w:pPr>
      <w:r>
        <w:rPr>
          <w:rFonts w:hint="eastAsia" w:hAnsi="宋体" w:cs="宋体"/>
          <w:b/>
          <w:bCs/>
          <w:sz w:val="28"/>
          <w:szCs w:val="28"/>
        </w:rPr>
        <w:t>二、评分标准</w:t>
      </w:r>
    </w:p>
    <w:p>
      <w:pPr>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分值（权重）分配：评分总分最高为100分，</w:t>
      </w:r>
      <w:r>
        <w:rPr>
          <w:rFonts w:hint="eastAsia" w:ascii="宋体" w:hAnsi="Courier New"/>
          <w:kern w:val="0"/>
          <w:sz w:val="24"/>
        </w:rPr>
        <w:t>商务</w:t>
      </w:r>
      <w:r>
        <w:rPr>
          <w:rFonts w:hint="eastAsia" w:asciiTheme="minorEastAsia" w:hAnsiTheme="minorEastAsia" w:cstheme="minorEastAsia"/>
          <w:color w:val="000000" w:themeColor="text1"/>
          <w:sz w:val="24"/>
          <w14:textFill>
            <w14:solidFill>
              <w14:schemeClr w14:val="tx1"/>
            </w14:solidFill>
          </w14:textFill>
        </w:rPr>
        <w:t>、技术及价格评分分值（权重）分配设置如下：</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1889"/>
        <w:gridCol w:w="1701"/>
        <w:gridCol w:w="1701"/>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897" w:type="dxa"/>
            <w:vAlign w:val="center"/>
          </w:tcPr>
          <w:p>
            <w:pPr>
              <w:spacing w:before="62" w:beforeLines="20" w:after="62" w:afterLines="20" w:line="340" w:lineRule="exact"/>
              <w:ind w:firstLine="220" w:firstLineChars="100"/>
              <w:rPr>
                <w:rFonts w:ascii="宋体" w:hAnsi="宋体" w:eastAsia="宋体" w:cs="宋体"/>
                <w:sz w:val="22"/>
                <w:szCs w:val="22"/>
              </w:rPr>
            </w:pPr>
            <w:r>
              <w:rPr>
                <w:rFonts w:hint="eastAsia" w:ascii="宋体" w:hAnsi="宋体" w:eastAsia="宋体" w:cs="宋体"/>
                <w:sz w:val="22"/>
                <w:szCs w:val="22"/>
              </w:rPr>
              <w:t>评分项目</w:t>
            </w:r>
          </w:p>
        </w:tc>
        <w:tc>
          <w:tcPr>
            <w:tcW w:w="1889" w:type="dxa"/>
            <w:vAlign w:val="center"/>
          </w:tcPr>
          <w:p>
            <w:pPr>
              <w:spacing w:before="62" w:beforeLines="20" w:after="62" w:afterLines="20" w:line="340" w:lineRule="exact"/>
              <w:ind w:firstLine="440" w:firstLineChars="200"/>
              <w:rPr>
                <w:rFonts w:ascii="宋体" w:hAnsi="宋体" w:eastAsia="宋体" w:cs="宋体"/>
                <w:sz w:val="22"/>
                <w:szCs w:val="22"/>
              </w:rPr>
            </w:pPr>
            <w:r>
              <w:rPr>
                <w:rFonts w:hint="eastAsia" w:ascii="宋体" w:hAnsi="宋体" w:eastAsia="宋体" w:cs="宋体"/>
                <w:sz w:val="22"/>
                <w:szCs w:val="22"/>
              </w:rPr>
              <w:t>技术评分</w:t>
            </w:r>
          </w:p>
        </w:tc>
        <w:tc>
          <w:tcPr>
            <w:tcW w:w="1701" w:type="dxa"/>
            <w:vAlign w:val="center"/>
          </w:tcPr>
          <w:p>
            <w:pPr>
              <w:spacing w:before="62" w:beforeLines="20" w:after="62" w:afterLines="20" w:line="340" w:lineRule="exact"/>
              <w:ind w:firstLine="440" w:firstLineChars="200"/>
              <w:rPr>
                <w:rFonts w:ascii="宋体" w:hAnsi="宋体" w:eastAsia="宋体" w:cs="宋体"/>
                <w:sz w:val="22"/>
                <w:szCs w:val="22"/>
              </w:rPr>
            </w:pPr>
            <w:r>
              <w:rPr>
                <w:rFonts w:hint="eastAsia" w:ascii="宋体" w:hAnsi="宋体" w:eastAsia="宋体" w:cs="宋体"/>
                <w:sz w:val="22"/>
                <w:szCs w:val="22"/>
              </w:rPr>
              <w:t>商务评分</w:t>
            </w:r>
          </w:p>
        </w:tc>
        <w:tc>
          <w:tcPr>
            <w:tcW w:w="1701" w:type="dxa"/>
            <w:vAlign w:val="center"/>
          </w:tcPr>
          <w:p>
            <w:pPr>
              <w:spacing w:before="62" w:beforeLines="20" w:after="62" w:afterLines="20" w:line="340" w:lineRule="exact"/>
              <w:ind w:firstLine="440" w:firstLineChars="200"/>
              <w:rPr>
                <w:rFonts w:ascii="宋体" w:hAnsi="宋体" w:eastAsia="宋体" w:cs="宋体"/>
                <w:sz w:val="22"/>
                <w:szCs w:val="22"/>
              </w:rPr>
            </w:pPr>
            <w:r>
              <w:rPr>
                <w:rFonts w:hint="eastAsia" w:ascii="宋体" w:hAnsi="宋体" w:eastAsia="宋体" w:cs="宋体"/>
                <w:sz w:val="22"/>
                <w:szCs w:val="22"/>
              </w:rPr>
              <w:t>价格评分</w:t>
            </w:r>
          </w:p>
        </w:tc>
        <w:tc>
          <w:tcPr>
            <w:tcW w:w="1609" w:type="dxa"/>
            <w:vAlign w:val="center"/>
          </w:tcPr>
          <w:p>
            <w:pPr>
              <w:spacing w:before="62" w:beforeLines="20" w:after="62" w:afterLines="20" w:line="340" w:lineRule="exact"/>
              <w:ind w:firstLine="440" w:firstLineChars="200"/>
              <w:rPr>
                <w:rFonts w:ascii="宋体" w:hAnsi="宋体" w:eastAsia="宋体" w:cs="宋体"/>
                <w:sz w:val="22"/>
                <w:szCs w:val="22"/>
              </w:rPr>
            </w:pPr>
            <w:r>
              <w:rPr>
                <w:rFonts w:hint="eastAsia" w:ascii="宋体" w:hAnsi="宋体" w:eastAsia="宋体" w:cs="宋体"/>
                <w:sz w:val="22"/>
                <w:szCs w:val="22"/>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897" w:type="dxa"/>
            <w:vAlign w:val="center"/>
          </w:tcPr>
          <w:p>
            <w:pPr>
              <w:spacing w:before="62" w:beforeLines="20" w:after="62" w:afterLines="20" w:line="340" w:lineRule="exact"/>
              <w:ind w:firstLine="440" w:firstLineChars="200"/>
              <w:rPr>
                <w:rFonts w:ascii="宋体" w:hAnsi="宋体" w:eastAsia="宋体" w:cs="宋体"/>
                <w:sz w:val="22"/>
                <w:szCs w:val="22"/>
              </w:rPr>
            </w:pPr>
            <w:r>
              <w:rPr>
                <w:rFonts w:hint="eastAsia" w:ascii="宋体" w:hAnsi="宋体" w:eastAsia="宋体" w:cs="宋体"/>
                <w:sz w:val="22"/>
                <w:szCs w:val="22"/>
              </w:rPr>
              <w:t>权重</w:t>
            </w:r>
          </w:p>
        </w:tc>
        <w:tc>
          <w:tcPr>
            <w:tcW w:w="1889" w:type="dxa"/>
            <w:vAlign w:val="center"/>
          </w:tcPr>
          <w:p>
            <w:pPr>
              <w:spacing w:before="62" w:beforeLines="20" w:after="62" w:afterLines="20" w:line="340" w:lineRule="exact"/>
              <w:ind w:firstLine="660" w:firstLineChars="300"/>
              <w:rPr>
                <w:rFonts w:ascii="宋体" w:hAnsi="宋体" w:eastAsia="宋体" w:cs="宋体"/>
                <w:sz w:val="22"/>
                <w:szCs w:val="22"/>
              </w:rPr>
            </w:pPr>
            <w:r>
              <w:rPr>
                <w:rFonts w:hint="eastAsia" w:ascii="宋体" w:hAnsi="宋体" w:eastAsia="宋体" w:cs="宋体"/>
                <w:sz w:val="22"/>
                <w:szCs w:val="22"/>
              </w:rPr>
              <w:t>60%</w:t>
            </w:r>
          </w:p>
        </w:tc>
        <w:tc>
          <w:tcPr>
            <w:tcW w:w="1701" w:type="dxa"/>
            <w:vAlign w:val="center"/>
          </w:tcPr>
          <w:p>
            <w:pPr>
              <w:spacing w:before="62" w:beforeLines="20" w:after="62" w:afterLines="20" w:line="340" w:lineRule="exact"/>
              <w:ind w:firstLine="660" w:firstLineChars="300"/>
              <w:rPr>
                <w:rFonts w:ascii="宋体" w:hAnsi="宋体" w:eastAsia="宋体" w:cs="宋体"/>
                <w:sz w:val="22"/>
                <w:szCs w:val="22"/>
              </w:rPr>
            </w:pPr>
            <w:r>
              <w:rPr>
                <w:rFonts w:hint="eastAsia" w:ascii="宋体" w:hAnsi="宋体" w:eastAsia="宋体" w:cs="宋体"/>
                <w:sz w:val="22"/>
                <w:szCs w:val="22"/>
              </w:rPr>
              <w:t>30%</w:t>
            </w:r>
          </w:p>
        </w:tc>
        <w:tc>
          <w:tcPr>
            <w:tcW w:w="1701" w:type="dxa"/>
            <w:vAlign w:val="center"/>
          </w:tcPr>
          <w:p>
            <w:pPr>
              <w:spacing w:before="62" w:beforeLines="20" w:after="62" w:afterLines="20" w:line="340" w:lineRule="exact"/>
              <w:ind w:firstLine="440" w:firstLineChars="200"/>
              <w:rPr>
                <w:rFonts w:ascii="宋体" w:hAnsi="宋体" w:eastAsia="宋体" w:cs="宋体"/>
                <w:sz w:val="22"/>
                <w:szCs w:val="22"/>
              </w:rPr>
            </w:pPr>
            <w:r>
              <w:rPr>
                <w:rFonts w:hint="eastAsia" w:ascii="宋体" w:hAnsi="宋体" w:eastAsia="宋体" w:cs="宋体"/>
                <w:sz w:val="22"/>
                <w:szCs w:val="22"/>
              </w:rPr>
              <w:t>10%</w:t>
            </w:r>
          </w:p>
        </w:tc>
        <w:tc>
          <w:tcPr>
            <w:tcW w:w="1609" w:type="dxa"/>
            <w:vAlign w:val="center"/>
          </w:tcPr>
          <w:p>
            <w:pPr>
              <w:spacing w:before="62" w:beforeLines="20" w:after="62" w:afterLines="20" w:line="340" w:lineRule="exact"/>
              <w:ind w:firstLine="440" w:firstLineChars="200"/>
              <w:rPr>
                <w:rFonts w:ascii="宋体" w:hAnsi="宋体" w:eastAsia="宋体" w:cs="宋体"/>
                <w:sz w:val="22"/>
                <w:szCs w:val="22"/>
              </w:rPr>
            </w:pPr>
            <w:r>
              <w:rPr>
                <w:rFonts w:hint="eastAsia" w:ascii="宋体" w:hAnsi="宋体" w:eastAsia="宋体" w:cs="宋体"/>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897" w:type="dxa"/>
            <w:vAlign w:val="center"/>
          </w:tcPr>
          <w:p>
            <w:pPr>
              <w:spacing w:before="62" w:beforeLines="20" w:after="62" w:afterLines="20" w:line="340" w:lineRule="exact"/>
              <w:ind w:firstLine="440" w:firstLineChars="200"/>
              <w:rPr>
                <w:rFonts w:ascii="宋体" w:hAnsi="宋体" w:eastAsia="宋体" w:cs="宋体"/>
                <w:sz w:val="22"/>
                <w:szCs w:val="22"/>
              </w:rPr>
            </w:pPr>
            <w:r>
              <w:rPr>
                <w:rFonts w:hint="eastAsia" w:ascii="宋体" w:hAnsi="宋体" w:eastAsia="宋体" w:cs="宋体"/>
                <w:sz w:val="22"/>
                <w:szCs w:val="22"/>
              </w:rPr>
              <w:t>分值</w:t>
            </w:r>
          </w:p>
        </w:tc>
        <w:tc>
          <w:tcPr>
            <w:tcW w:w="1889" w:type="dxa"/>
            <w:vAlign w:val="center"/>
          </w:tcPr>
          <w:p>
            <w:pPr>
              <w:spacing w:before="62" w:beforeLines="20" w:after="62" w:afterLines="20" w:line="340" w:lineRule="exact"/>
              <w:ind w:firstLine="660" w:firstLineChars="300"/>
              <w:rPr>
                <w:rFonts w:ascii="宋体" w:hAnsi="宋体" w:eastAsia="宋体" w:cs="宋体"/>
                <w:sz w:val="22"/>
                <w:szCs w:val="22"/>
              </w:rPr>
            </w:pPr>
            <w:r>
              <w:rPr>
                <w:rFonts w:hint="eastAsia" w:ascii="宋体" w:hAnsi="宋体" w:eastAsia="宋体" w:cs="宋体"/>
                <w:sz w:val="22"/>
                <w:szCs w:val="22"/>
              </w:rPr>
              <w:t>60分</w:t>
            </w:r>
          </w:p>
        </w:tc>
        <w:tc>
          <w:tcPr>
            <w:tcW w:w="1701" w:type="dxa"/>
            <w:vAlign w:val="center"/>
          </w:tcPr>
          <w:p>
            <w:pPr>
              <w:spacing w:before="62" w:beforeLines="20" w:after="62" w:afterLines="20" w:line="340" w:lineRule="exact"/>
              <w:ind w:firstLine="660" w:firstLineChars="300"/>
              <w:rPr>
                <w:rFonts w:ascii="宋体" w:hAnsi="宋体" w:eastAsia="宋体" w:cs="宋体"/>
                <w:sz w:val="22"/>
                <w:szCs w:val="22"/>
              </w:rPr>
            </w:pPr>
            <w:r>
              <w:rPr>
                <w:rFonts w:hint="eastAsia" w:ascii="宋体" w:hAnsi="宋体" w:eastAsia="宋体" w:cs="宋体"/>
                <w:sz w:val="22"/>
                <w:szCs w:val="22"/>
              </w:rPr>
              <w:t>30分</w:t>
            </w:r>
          </w:p>
        </w:tc>
        <w:tc>
          <w:tcPr>
            <w:tcW w:w="1701" w:type="dxa"/>
            <w:vAlign w:val="center"/>
          </w:tcPr>
          <w:p>
            <w:pPr>
              <w:spacing w:before="62" w:beforeLines="20" w:after="62" w:afterLines="20" w:line="340" w:lineRule="exact"/>
              <w:ind w:firstLine="440" w:firstLineChars="200"/>
              <w:rPr>
                <w:rFonts w:ascii="宋体" w:hAnsi="宋体" w:eastAsia="宋体" w:cs="宋体"/>
                <w:sz w:val="22"/>
                <w:szCs w:val="22"/>
              </w:rPr>
            </w:pPr>
            <w:r>
              <w:rPr>
                <w:rFonts w:hint="eastAsia" w:ascii="宋体" w:hAnsi="宋体" w:eastAsia="宋体" w:cs="宋体"/>
                <w:sz w:val="22"/>
                <w:szCs w:val="22"/>
              </w:rPr>
              <w:t>10分</w:t>
            </w:r>
          </w:p>
        </w:tc>
        <w:tc>
          <w:tcPr>
            <w:tcW w:w="1609" w:type="dxa"/>
            <w:vAlign w:val="center"/>
          </w:tcPr>
          <w:p>
            <w:pPr>
              <w:spacing w:before="62" w:beforeLines="20" w:after="62" w:afterLines="20" w:line="340" w:lineRule="exact"/>
              <w:ind w:firstLine="440" w:firstLineChars="200"/>
              <w:rPr>
                <w:rFonts w:ascii="宋体" w:hAnsi="宋体" w:eastAsia="宋体" w:cs="宋体"/>
                <w:sz w:val="22"/>
                <w:szCs w:val="22"/>
              </w:rPr>
            </w:pPr>
            <w:r>
              <w:rPr>
                <w:rFonts w:hint="eastAsia" w:ascii="宋体" w:hAnsi="宋体" w:eastAsia="宋体" w:cs="宋体"/>
                <w:sz w:val="22"/>
                <w:szCs w:val="22"/>
              </w:rPr>
              <w:t>100分</w:t>
            </w:r>
          </w:p>
        </w:tc>
      </w:tr>
    </w:tbl>
    <w:p>
      <w:pPr>
        <w:widowControl/>
        <w:tabs>
          <w:tab w:val="left" w:pos="567"/>
        </w:tabs>
        <w:spacing w:before="156" w:beforeLines="50" w:after="156" w:afterLines="50" w:line="360" w:lineRule="auto"/>
        <w:ind w:firstLine="480"/>
        <w:jc w:val="center"/>
        <w:rPr>
          <w:rFonts w:ascii="宋体" w:hAnsi="宋体" w:eastAsia="宋体" w:cs="宋体"/>
          <w:b/>
          <w:kern w:val="0"/>
          <w:sz w:val="24"/>
        </w:rPr>
      </w:pPr>
      <w:r>
        <w:rPr>
          <w:rFonts w:hint="eastAsia" w:ascii="宋体" w:hAnsi="宋体" w:eastAsia="宋体" w:cs="宋体"/>
          <w:b/>
          <w:kern w:val="0"/>
          <w:sz w:val="24"/>
        </w:rPr>
        <w:t xml:space="preserve">   价格、技术评分表</w:t>
      </w:r>
      <w:bookmarkStart w:id="0" w:name="GradeForm1_sGradeType"/>
      <w:r>
        <w:rPr>
          <w:rFonts w:hint="eastAsia" w:ascii="宋体" w:hAnsi="宋体" w:eastAsia="宋体" w:cs="宋体"/>
          <w:b/>
          <w:kern w:val="0"/>
          <w:sz w:val="24"/>
        </w:rPr>
        <w:t>（70分）</w:t>
      </w:r>
    </w:p>
    <w:tbl>
      <w:tblPr>
        <w:tblStyle w:val="3"/>
        <w:tblW w:w="9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961"/>
        <w:gridCol w:w="1770"/>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vAlign w:val="center"/>
          </w:tcPr>
          <w:p>
            <w:pPr>
              <w:jc w:val="center"/>
              <w:rPr>
                <w:rFonts w:asciiTheme="minorEastAsia" w:hAnsiTheme="minorEastAsia" w:cstheme="minorEastAsia"/>
                <w:sz w:val="22"/>
                <w:szCs w:val="22"/>
              </w:rPr>
            </w:pPr>
            <w:r>
              <w:rPr>
                <w:rFonts w:hint="eastAsia" w:asciiTheme="minorEastAsia" w:hAnsiTheme="minorEastAsia" w:cstheme="minorEastAsia"/>
                <w:sz w:val="22"/>
                <w:szCs w:val="22"/>
              </w:rPr>
              <w:t>评比因素</w:t>
            </w:r>
          </w:p>
        </w:tc>
        <w:tc>
          <w:tcPr>
            <w:tcW w:w="961" w:type="dxa"/>
            <w:shd w:val="clear" w:color="auto" w:fill="auto"/>
            <w:vAlign w:val="center"/>
          </w:tcPr>
          <w:p>
            <w:pPr>
              <w:ind w:firstLine="110" w:firstLineChars="50"/>
              <w:rPr>
                <w:rFonts w:asciiTheme="minorEastAsia" w:hAnsiTheme="minorEastAsia" w:cstheme="minorEastAsia"/>
                <w:sz w:val="22"/>
                <w:szCs w:val="22"/>
              </w:rPr>
            </w:pPr>
            <w:r>
              <w:rPr>
                <w:rFonts w:hint="eastAsia" w:asciiTheme="minorEastAsia" w:hAnsiTheme="minorEastAsia" w:cstheme="minorEastAsia"/>
                <w:sz w:val="22"/>
                <w:szCs w:val="22"/>
              </w:rPr>
              <w:t>分值</w:t>
            </w:r>
          </w:p>
        </w:tc>
        <w:tc>
          <w:tcPr>
            <w:tcW w:w="7650" w:type="dxa"/>
            <w:gridSpan w:val="2"/>
            <w:shd w:val="clear" w:color="auto" w:fill="auto"/>
            <w:vAlign w:val="center"/>
          </w:tcPr>
          <w:p>
            <w:pPr>
              <w:ind w:firstLine="440"/>
              <w:jc w:val="center"/>
              <w:rPr>
                <w:rFonts w:asciiTheme="minorEastAsia" w:hAnsiTheme="minorEastAsia" w:cstheme="minorEastAsia"/>
                <w:sz w:val="22"/>
                <w:szCs w:val="22"/>
              </w:rPr>
            </w:pPr>
            <w:r>
              <w:rPr>
                <w:rFonts w:hint="eastAsia" w:asciiTheme="minorEastAsia" w:hAnsiTheme="minorEastAsia" w:cstheme="minorEastAsia"/>
                <w:sz w:val="22"/>
                <w:szCs w:val="22"/>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vAlign w:val="center"/>
          </w:tcPr>
          <w:p>
            <w:pPr>
              <w:jc w:val="center"/>
              <w:rPr>
                <w:rFonts w:asciiTheme="minorEastAsia" w:hAnsiTheme="minorEastAsia" w:cstheme="minorEastAsia"/>
                <w:sz w:val="22"/>
                <w:szCs w:val="22"/>
              </w:rPr>
            </w:pPr>
            <w:r>
              <w:rPr>
                <w:rFonts w:hint="eastAsia" w:asciiTheme="minorEastAsia" w:hAnsiTheme="minorEastAsia" w:cstheme="minorEastAsia"/>
                <w:sz w:val="22"/>
                <w:szCs w:val="22"/>
              </w:rPr>
              <w:t>价格部分</w:t>
            </w:r>
          </w:p>
        </w:tc>
        <w:tc>
          <w:tcPr>
            <w:tcW w:w="961" w:type="dxa"/>
            <w:shd w:val="clear" w:color="auto" w:fill="auto"/>
            <w:vAlign w:val="center"/>
          </w:tcPr>
          <w:p>
            <w:pPr>
              <w:ind w:firstLine="110" w:firstLineChars="50"/>
              <w:rPr>
                <w:rFonts w:asciiTheme="minorEastAsia" w:hAnsiTheme="minorEastAsia" w:cstheme="minorEastAsia"/>
                <w:sz w:val="22"/>
                <w:szCs w:val="22"/>
              </w:rPr>
            </w:pPr>
            <w:r>
              <w:rPr>
                <w:rFonts w:hint="eastAsia" w:asciiTheme="minorEastAsia" w:hAnsiTheme="minorEastAsia" w:cstheme="minorEastAsia"/>
                <w:sz w:val="22"/>
                <w:szCs w:val="22"/>
              </w:rPr>
              <w:t>10分</w:t>
            </w:r>
          </w:p>
        </w:tc>
        <w:tc>
          <w:tcPr>
            <w:tcW w:w="7650" w:type="dxa"/>
            <w:gridSpan w:val="2"/>
            <w:shd w:val="clear" w:color="auto" w:fill="auto"/>
            <w:vAlign w:val="center"/>
          </w:tcPr>
          <w:p>
            <w:pPr>
              <w:ind w:firstLine="440"/>
              <w:jc w:val="left"/>
              <w:rPr>
                <w:rFonts w:asciiTheme="minorEastAsia" w:hAnsiTheme="minorEastAsia" w:cstheme="minorEastAsia"/>
                <w:sz w:val="22"/>
                <w:szCs w:val="22"/>
              </w:rPr>
            </w:pPr>
            <w:r>
              <w:rPr>
                <w:rFonts w:hint="eastAsia" w:asciiTheme="minorEastAsia" w:hAnsiTheme="minorEastAsia" w:cstheme="minorEastAsia"/>
                <w:sz w:val="22"/>
                <w:szCs w:val="22"/>
              </w:rPr>
              <w:t>投标报价得分=(评标基准价÷评标价格)×价格分值</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注：1．“评标基准价”是指有效评标价格当中的最低价格。</w:t>
            </w:r>
            <w:r>
              <w:rPr>
                <w:rFonts w:hint="eastAsia" w:asciiTheme="minorEastAsia" w:hAnsiTheme="minorEastAsia" w:cstheme="minorEastAsia"/>
                <w:sz w:val="22"/>
                <w:szCs w:val="22"/>
              </w:rPr>
              <w:br w:type="textWrapping"/>
            </w:r>
            <w:r>
              <w:rPr>
                <w:rFonts w:asciiTheme="minorEastAsia" w:hAnsiTheme="minorEastAsia" w:cstheme="minorEastAsia"/>
                <w:sz w:val="22"/>
                <w:szCs w:val="22"/>
              </w:rPr>
              <w:t xml:space="preserve">    </w:t>
            </w:r>
            <w:r>
              <w:rPr>
                <w:rFonts w:hint="eastAsia" w:asciiTheme="minorEastAsia" w:hAnsiTheme="minorEastAsia" w:cstheme="minorEastAsia"/>
                <w:sz w:val="22"/>
                <w:szCs w:val="22"/>
              </w:rPr>
              <w:t>2．若投标人为小型或微型企业，且所投产品的制造商为小型或微型企业的，评审时，对小型和微型企业产品的价格给予6﹪的扣除，用扣除后的价格参与评审。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restart"/>
            <w:shd w:val="clear" w:color="auto" w:fill="auto"/>
            <w:vAlign w:val="center"/>
          </w:tcPr>
          <w:p>
            <w:pPr>
              <w:rPr>
                <w:rFonts w:asciiTheme="minorEastAsia" w:hAnsiTheme="minorEastAsia" w:cstheme="minorEastAsia"/>
                <w:sz w:val="22"/>
                <w:szCs w:val="22"/>
              </w:rPr>
            </w:pPr>
            <w:r>
              <w:rPr>
                <w:rFonts w:hint="eastAsia" w:asciiTheme="minorEastAsia" w:hAnsiTheme="minorEastAsia" w:cstheme="minorEastAsia"/>
                <w:sz w:val="22"/>
                <w:szCs w:val="22"/>
              </w:rPr>
              <w:t>技术</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部分</w:t>
            </w:r>
          </w:p>
        </w:tc>
        <w:tc>
          <w:tcPr>
            <w:tcW w:w="961" w:type="dxa"/>
            <w:shd w:val="clear" w:color="auto" w:fill="auto"/>
            <w:vAlign w:val="center"/>
          </w:tcPr>
          <w:p>
            <w:pPr>
              <w:ind w:firstLine="110" w:firstLineChars="50"/>
              <w:rPr>
                <w:rFonts w:asciiTheme="minorEastAsia" w:hAnsiTheme="minorEastAsia" w:cstheme="minorEastAsia"/>
                <w:sz w:val="22"/>
                <w:szCs w:val="22"/>
              </w:rPr>
            </w:pPr>
            <w:r>
              <w:rPr>
                <w:rFonts w:hint="eastAsia" w:asciiTheme="minorEastAsia" w:hAnsiTheme="minorEastAsia" w:cstheme="minorEastAsia"/>
                <w:sz w:val="22"/>
                <w:szCs w:val="22"/>
              </w:rPr>
              <w:t>30分</w:t>
            </w:r>
          </w:p>
        </w:tc>
        <w:tc>
          <w:tcPr>
            <w:tcW w:w="1770" w:type="dxa"/>
            <w:shd w:val="clear" w:color="auto" w:fill="auto"/>
            <w:vAlign w:val="center"/>
          </w:tcPr>
          <w:p>
            <w:pPr>
              <w:ind w:firstLine="330" w:firstLineChars="150"/>
              <w:rPr>
                <w:rFonts w:asciiTheme="minorEastAsia" w:hAnsiTheme="minorEastAsia" w:cstheme="minorEastAsia"/>
                <w:sz w:val="22"/>
                <w:szCs w:val="22"/>
              </w:rPr>
            </w:pPr>
            <w:r>
              <w:rPr>
                <w:rFonts w:hint="eastAsia" w:asciiTheme="minorEastAsia" w:hAnsiTheme="minorEastAsia" w:cstheme="minorEastAsia"/>
                <w:sz w:val="22"/>
                <w:szCs w:val="22"/>
              </w:rPr>
              <w:t>参数响应</w:t>
            </w:r>
          </w:p>
        </w:tc>
        <w:tc>
          <w:tcPr>
            <w:tcW w:w="5880" w:type="dxa"/>
            <w:shd w:val="clear" w:color="auto" w:fill="auto"/>
            <w:vAlign w:val="center"/>
          </w:tcPr>
          <w:p>
            <w:pPr>
              <w:ind w:firstLine="440"/>
              <w:rPr>
                <w:rFonts w:asciiTheme="minorEastAsia" w:hAnsiTheme="minorEastAsia" w:cstheme="minorEastAsia"/>
                <w:sz w:val="22"/>
                <w:szCs w:val="22"/>
              </w:rPr>
            </w:pPr>
            <w:r>
              <w:rPr>
                <w:rFonts w:hint="eastAsia" w:asciiTheme="minorEastAsia" w:hAnsiTheme="minorEastAsia" w:cstheme="minorEastAsia"/>
                <w:sz w:val="22"/>
                <w:szCs w:val="22"/>
              </w:rPr>
              <w:t>根据招标文件“采购项目需求”中参数要求响应情况进行评分：完全响应招标文件要求得30分。每负偏离一项标示“▲”符号条款扣2.5分；每负偏离一项非标示“▲”符号条款扣1分。最高扣至本项得分为0。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continue"/>
            <w:vAlign w:val="center"/>
          </w:tcPr>
          <w:p>
            <w:pPr>
              <w:ind w:firstLine="440"/>
              <w:jc w:val="center"/>
              <w:rPr>
                <w:rFonts w:asciiTheme="minorEastAsia" w:hAnsiTheme="minorEastAsia" w:cstheme="minorEastAsia"/>
                <w:sz w:val="22"/>
                <w:szCs w:val="22"/>
              </w:rPr>
            </w:pPr>
          </w:p>
        </w:tc>
        <w:tc>
          <w:tcPr>
            <w:tcW w:w="961" w:type="dxa"/>
            <w:shd w:val="clear" w:color="auto" w:fill="auto"/>
            <w:vAlign w:val="center"/>
          </w:tcPr>
          <w:p>
            <w:pPr>
              <w:ind w:firstLine="110" w:firstLineChars="50"/>
              <w:rPr>
                <w:rFonts w:asciiTheme="minorEastAsia" w:hAnsiTheme="minorEastAsia" w:cstheme="minorEastAsia"/>
                <w:sz w:val="22"/>
                <w:szCs w:val="22"/>
              </w:rPr>
            </w:pPr>
            <w:r>
              <w:rPr>
                <w:rFonts w:hint="eastAsia" w:asciiTheme="minorEastAsia" w:hAnsiTheme="minorEastAsia" w:cstheme="minorEastAsia"/>
                <w:sz w:val="22"/>
                <w:szCs w:val="22"/>
              </w:rPr>
              <w:t>20分</w:t>
            </w:r>
          </w:p>
        </w:tc>
        <w:tc>
          <w:tcPr>
            <w:tcW w:w="1770" w:type="dxa"/>
            <w:shd w:val="clear" w:color="auto" w:fill="auto"/>
            <w:vAlign w:val="center"/>
          </w:tcPr>
          <w:p>
            <w:pPr>
              <w:ind w:firstLine="330" w:firstLineChars="150"/>
              <w:rPr>
                <w:rFonts w:asciiTheme="minorEastAsia" w:hAnsiTheme="minorEastAsia" w:cstheme="minorEastAsia"/>
                <w:sz w:val="22"/>
                <w:szCs w:val="22"/>
              </w:rPr>
            </w:pPr>
            <w:r>
              <w:rPr>
                <w:rFonts w:hint="eastAsia" w:asciiTheme="minorEastAsia" w:hAnsiTheme="minorEastAsia" w:cstheme="minorEastAsia"/>
                <w:sz w:val="22"/>
                <w:szCs w:val="22"/>
              </w:rPr>
              <w:t>演示部分</w:t>
            </w:r>
          </w:p>
        </w:tc>
        <w:tc>
          <w:tcPr>
            <w:tcW w:w="5880" w:type="dxa"/>
            <w:shd w:val="clear" w:color="auto" w:fill="auto"/>
            <w:vAlign w:val="center"/>
          </w:tcPr>
          <w:p>
            <w:pPr>
              <w:spacing w:line="340" w:lineRule="exact"/>
              <w:rPr>
                <w:rFonts w:asciiTheme="minorEastAsia" w:hAnsiTheme="minorEastAsia" w:cstheme="minorEastAsia"/>
                <w:sz w:val="22"/>
                <w:szCs w:val="22"/>
              </w:rPr>
            </w:pPr>
            <w:r>
              <w:rPr>
                <w:rFonts w:hint="eastAsia" w:asciiTheme="minorEastAsia" w:hAnsiTheme="minorEastAsia" w:cstheme="minorEastAsia"/>
                <w:sz w:val="22"/>
                <w:szCs w:val="22"/>
              </w:rPr>
              <w:t>综合比较各投标人提供以下平台功能演示情况：</w:t>
            </w:r>
          </w:p>
          <w:p>
            <w:pPr>
              <w:spacing w:line="340" w:lineRule="exact"/>
              <w:ind w:firstLine="440" w:firstLineChars="200"/>
              <w:rPr>
                <w:rFonts w:asciiTheme="minorEastAsia" w:hAnsiTheme="minorEastAsia" w:cstheme="minorEastAsia"/>
                <w:sz w:val="22"/>
                <w:szCs w:val="22"/>
              </w:rPr>
            </w:pPr>
            <w:r>
              <w:rPr>
                <w:rFonts w:asciiTheme="minorEastAsia" w:hAnsiTheme="minorEastAsia" w:cstheme="minorEastAsia"/>
                <w:sz w:val="22"/>
                <w:szCs w:val="22"/>
              </w:rPr>
              <w:t>1.</w:t>
            </w:r>
            <w:r>
              <w:rPr>
                <w:rFonts w:hint="eastAsia" w:asciiTheme="minorEastAsia" w:hAnsiTheme="minorEastAsia" w:cstheme="minorEastAsia"/>
                <w:color w:val="000000"/>
                <w:kern w:val="0"/>
                <w:sz w:val="22"/>
                <w:szCs w:val="22"/>
              </w:rPr>
              <w:t>展示行业人才大数据分析可视化系统：能</w:t>
            </w:r>
            <w:r>
              <w:rPr>
                <w:rFonts w:hint="eastAsia" w:asciiTheme="minorEastAsia" w:hAnsiTheme="minorEastAsia" w:cstheme="minorEastAsia"/>
                <w:sz w:val="22"/>
                <w:szCs w:val="22"/>
              </w:rPr>
              <w:t>展示行业人才需求排行TOP30的数据、岗位人才需求排行TOP30的数据、专业热度排行TOP30的数据；并支持</w:t>
            </w:r>
            <w:r>
              <w:rPr>
                <w:rFonts w:hint="eastAsia" w:asciiTheme="minorEastAsia" w:hAnsiTheme="minorEastAsia" w:cstheme="minorEastAsia"/>
                <w:color w:val="000000"/>
                <w:kern w:val="0"/>
                <w:sz w:val="22"/>
                <w:szCs w:val="22"/>
              </w:rPr>
              <w:t>对专业和岗位进行搜索从而查看更详细的专业、岗位数据分析。搜索方式支持：关键词搜索、专业目录检索、岗位目录检索等，专业目录需包含本科、高职、中职、技工等不同学历层次相关专业，岗位目录分类层次不低于3层，最大的岗位大类不低于10个类型。得4分；</w:t>
            </w:r>
          </w:p>
          <w:p>
            <w:pPr>
              <w:spacing w:line="340" w:lineRule="exact"/>
              <w:ind w:firstLine="440" w:firstLineChars="200"/>
              <w:rPr>
                <w:rFonts w:asciiTheme="minorEastAsia" w:hAnsiTheme="minorEastAsia" w:cstheme="minorEastAsia"/>
                <w:color w:val="000000"/>
                <w:kern w:val="0"/>
                <w:sz w:val="22"/>
                <w:szCs w:val="22"/>
              </w:rPr>
            </w:pPr>
            <w:r>
              <w:rPr>
                <w:rFonts w:hint="eastAsia" w:ascii="宋体" w:hAnsi="宋体" w:eastAsia="宋体" w:cs="宋体"/>
                <w:sz w:val="22"/>
                <w:szCs w:val="22"/>
              </w:rPr>
              <w:t>2</w:t>
            </w:r>
            <w:r>
              <w:rPr>
                <w:rFonts w:ascii="宋体" w:hAnsi="宋体" w:eastAsia="宋体" w:cs="宋体"/>
                <w:sz w:val="22"/>
                <w:szCs w:val="22"/>
              </w:rPr>
              <w:t>.</w:t>
            </w:r>
            <w:r>
              <w:rPr>
                <w:rFonts w:hint="eastAsia" w:ascii="宋体" w:hAnsi="宋体" w:eastAsia="宋体" w:cs="宋体"/>
                <w:sz w:val="22"/>
                <w:szCs w:val="22"/>
              </w:rPr>
              <w:t>展示专业大数据分析可视化系统——专业关联岗位分析：</w:t>
            </w:r>
            <w:r>
              <w:rPr>
                <w:rFonts w:hint="eastAsia" w:ascii="宋体" w:hAnsi="宋体" w:eastAsia="宋体" w:cs="宋体"/>
                <w:color w:val="000000"/>
                <w:kern w:val="0"/>
                <w:sz w:val="22"/>
                <w:szCs w:val="22"/>
              </w:rPr>
              <w:t>能展示与专业关联度排名前8的岗位信息。提供的岗位信息包括：岗位名称、岗位描述、当前专业与该岗位的关联度、岗位需求量、岗位要求关键词、词云、岗位工作任务大数据分析表（含工作任务的普适性）、岗位能力要求大数据分析表（含能力要求的普适性和要求指数）等。也可进一步展示前20名关联岗位。快速了解专业与岗位对接情况，以及岗位的大致情况。其中关联度排名前8的岗位需求量能根据地域维度（省份、经济区、城市等）和行业维度筛选而实时更新。支持各种维度筛选下数据Excle格式导出。</w:t>
            </w:r>
            <w:r>
              <w:rPr>
                <w:rFonts w:hint="eastAsia" w:ascii="宋体" w:hAnsi="宋体" w:eastAsia="宋体" w:cs="宋体"/>
                <w:sz w:val="22"/>
                <w:szCs w:val="22"/>
              </w:rPr>
              <w:t>满足以上得4分</w:t>
            </w:r>
            <w:r>
              <w:rPr>
                <w:rFonts w:hint="eastAsia" w:asciiTheme="minorEastAsia" w:hAnsiTheme="minorEastAsia" w:cstheme="minorEastAsia"/>
                <w:sz w:val="22"/>
                <w:szCs w:val="22"/>
              </w:rPr>
              <w:t>；</w:t>
            </w:r>
          </w:p>
          <w:p>
            <w:pPr>
              <w:spacing w:line="340" w:lineRule="exact"/>
              <w:ind w:firstLine="440" w:firstLineChars="200"/>
              <w:rPr>
                <w:rFonts w:asciiTheme="minorEastAsia" w:hAnsiTheme="minorEastAsia" w:cstheme="minorEastAsia"/>
                <w:color w:val="000000"/>
                <w:kern w:val="0"/>
                <w:sz w:val="22"/>
                <w:szCs w:val="22"/>
              </w:rPr>
            </w:pPr>
            <w:r>
              <w:rPr>
                <w:rFonts w:hint="eastAsia" w:ascii="宋体" w:hAnsi="宋体" w:eastAsia="宋体" w:cs="宋体"/>
                <w:sz w:val="22"/>
                <w:szCs w:val="22"/>
              </w:rPr>
              <w:t>3</w:t>
            </w:r>
            <w:r>
              <w:rPr>
                <w:rFonts w:ascii="宋体" w:hAnsi="宋体" w:eastAsia="宋体" w:cs="宋体"/>
                <w:sz w:val="22"/>
                <w:szCs w:val="22"/>
              </w:rPr>
              <w:t>.</w:t>
            </w:r>
            <w:r>
              <w:rPr>
                <w:rFonts w:hint="eastAsia" w:ascii="宋体" w:hAnsi="宋体" w:eastAsia="宋体" w:cs="宋体"/>
                <w:sz w:val="22"/>
                <w:szCs w:val="22"/>
              </w:rPr>
              <w:t>展示岗位大数据分析可视化系统：</w:t>
            </w:r>
            <w:r>
              <w:rPr>
                <w:rFonts w:hint="eastAsia" w:ascii="宋体" w:hAnsi="宋体" w:eastAsia="宋体" w:cs="宋体"/>
                <w:color w:val="000000"/>
                <w:kern w:val="0"/>
                <w:sz w:val="22"/>
                <w:szCs w:val="22"/>
              </w:rPr>
              <w:t>可查看岗位描述、岗位关联企业TOP100数据(包括企业性质、企业所在地点、企业所在行业)、全国岗位需求总量、TOP10城市需求分布、薪资水平统计、岗位要求词云、工作经验要求、学历要求、招聘企业规模、企业性质分布统计等。支持通过自定义组合各种不同地域、行业数据源、学历要求、薪资水平、工作经验要求、企业规模、企业性质多维度进行关联实时分析，关联分析结果通过可视化界面展现，并可动态添加删除关联维度选择。支持各种维度筛选下数据Excle格式导出。</w:t>
            </w:r>
            <w:r>
              <w:rPr>
                <w:rFonts w:hint="eastAsia" w:ascii="宋体" w:hAnsi="宋体" w:eastAsia="宋体" w:cs="宋体"/>
                <w:sz w:val="22"/>
                <w:szCs w:val="22"/>
              </w:rPr>
              <w:t>满足以上得3分</w:t>
            </w:r>
            <w:r>
              <w:rPr>
                <w:rFonts w:hint="eastAsia" w:asciiTheme="minorEastAsia" w:hAnsiTheme="minorEastAsia" w:cstheme="minorEastAsia"/>
                <w:sz w:val="22"/>
                <w:szCs w:val="22"/>
              </w:rPr>
              <w:t>。</w:t>
            </w:r>
          </w:p>
          <w:p>
            <w:pPr>
              <w:spacing w:line="340" w:lineRule="exact"/>
              <w:ind w:firstLine="440" w:firstLineChars="200"/>
              <w:rPr>
                <w:rFonts w:asciiTheme="minorEastAsia" w:hAnsiTheme="minorEastAsia" w:cstheme="minorEastAsia"/>
                <w:color w:val="000000"/>
                <w:kern w:val="0"/>
                <w:sz w:val="22"/>
                <w:szCs w:val="22"/>
              </w:rPr>
            </w:pPr>
            <w:r>
              <w:rPr>
                <w:rFonts w:hint="eastAsia" w:asciiTheme="minorEastAsia" w:hAnsiTheme="minorEastAsia" w:cstheme="minorEastAsia"/>
                <w:color w:val="000000"/>
                <w:kern w:val="0"/>
                <w:sz w:val="22"/>
                <w:szCs w:val="22"/>
              </w:rPr>
              <w:t>4</w:t>
            </w:r>
            <w:r>
              <w:rPr>
                <w:rFonts w:asciiTheme="minorEastAsia" w:hAnsiTheme="minorEastAsia" w:cstheme="minorEastAsia"/>
                <w:color w:val="000000"/>
                <w:kern w:val="0"/>
                <w:sz w:val="22"/>
                <w:szCs w:val="22"/>
              </w:rPr>
              <w:t>.</w:t>
            </w:r>
            <w:r>
              <w:rPr>
                <w:rFonts w:hint="eastAsia" w:asciiTheme="minorEastAsia" w:hAnsiTheme="minorEastAsia" w:cstheme="minorEastAsia"/>
                <w:color w:val="000000"/>
                <w:kern w:val="0"/>
                <w:sz w:val="22"/>
                <w:szCs w:val="22"/>
              </w:rPr>
              <w:t>展示</w:t>
            </w:r>
            <w:r>
              <w:rPr>
                <w:rFonts w:hint="eastAsia" w:asciiTheme="minorEastAsia" w:hAnsiTheme="minorEastAsia" w:cstheme="minorEastAsia"/>
                <w:color w:val="000000"/>
                <w:sz w:val="22"/>
                <w:szCs w:val="22"/>
              </w:rPr>
              <w:t>岗位在线分析系统：可在线邀请企业专家协同进行分析，企业专家可通过邀请码进入分析界面，并根据引导，完成职业能力分析，提交后实时到达用户分析任务详情中。满足以上得3分。</w:t>
            </w:r>
          </w:p>
          <w:p>
            <w:pPr>
              <w:spacing w:line="340" w:lineRule="exact"/>
              <w:ind w:firstLine="440"/>
              <w:jc w:val="left"/>
              <w:rPr>
                <w:rFonts w:asciiTheme="minorEastAsia" w:hAnsiTheme="minorEastAsia" w:cstheme="minorEastAsia"/>
                <w:sz w:val="22"/>
                <w:szCs w:val="22"/>
              </w:rPr>
            </w:pPr>
            <w:r>
              <w:rPr>
                <w:rFonts w:hint="eastAsia" w:asciiTheme="minorEastAsia" w:hAnsiTheme="minorEastAsia" w:cstheme="minorEastAsia"/>
                <w:sz w:val="22"/>
                <w:szCs w:val="22"/>
              </w:rPr>
              <w:t>5.展示</w:t>
            </w:r>
            <w:r>
              <w:rPr>
                <w:rFonts w:hint="eastAsia" w:asciiTheme="minorEastAsia" w:hAnsiTheme="minorEastAsia" w:cstheme="minorEastAsia"/>
                <w:color w:val="000000"/>
                <w:sz w:val="22"/>
                <w:szCs w:val="22"/>
              </w:rPr>
              <w:t>课程能力映射在线分析系统：可开启课程能力映射头脑风暴模式，所有参加头脑风暴会议的教育专家可通过在线协同系统登陆，直接获取本次头脑风暴的课程结构表和职业能力分析表，通过在线对每门课程与职业能力进行关联映射。系统自动回收所有教育专家的映射结果，可实时查看头脑风暴进度和收回清单，回收清单支持导出。支持汇总所有数据统计，并可单独对课程或整体对所有课程设置过滤条件，实时查看过滤项目，最终形成的头脑风暴会议数据可与自己的课程与能力映射数据进行交叉对比，并最终确定各课程需教学的职业能力。满足以上得3分。</w:t>
            </w:r>
          </w:p>
          <w:p>
            <w:pPr>
              <w:spacing w:line="340" w:lineRule="exact"/>
              <w:ind w:firstLine="440"/>
              <w:rPr>
                <w:rFonts w:asciiTheme="minorEastAsia" w:hAnsiTheme="minorEastAsia" w:cstheme="minorEastAsia"/>
                <w:sz w:val="22"/>
                <w:szCs w:val="22"/>
              </w:rPr>
            </w:pPr>
            <w:r>
              <w:rPr>
                <w:rFonts w:hint="eastAsia" w:asciiTheme="minorEastAsia" w:hAnsiTheme="minorEastAsia" w:cstheme="minorEastAsia"/>
                <w:sz w:val="22"/>
                <w:szCs w:val="22"/>
              </w:rPr>
              <w:t>6.能</w:t>
            </w:r>
            <w:r>
              <w:rPr>
                <w:rFonts w:hint="eastAsia" w:asciiTheme="minorEastAsia" w:hAnsiTheme="minorEastAsia" w:cstheme="minorEastAsia"/>
                <w:color w:val="000000"/>
                <w:kern w:val="0"/>
                <w:sz w:val="22"/>
                <w:szCs w:val="22"/>
              </w:rPr>
              <w:t>展示平台教务端：可通过教务处的角色登录系统，可查看人才培养方案研制情况，以及每个阶段具体工作的明细和审批提交上来的报告。</w:t>
            </w:r>
            <w:r>
              <w:rPr>
                <w:rFonts w:hint="eastAsia" w:asciiTheme="minorEastAsia" w:hAnsiTheme="minorEastAsia" w:cstheme="minorEastAsia"/>
                <w:color w:val="000000"/>
                <w:sz w:val="22"/>
                <w:szCs w:val="22"/>
              </w:rPr>
              <w:t>满足以上得3分。</w:t>
            </w:r>
          </w:p>
          <w:p>
            <w:pPr>
              <w:spacing w:line="340" w:lineRule="exact"/>
              <w:ind w:firstLine="440"/>
              <w:rPr>
                <w:rFonts w:asciiTheme="minorEastAsia" w:hAnsiTheme="minorEastAsia" w:cstheme="minorEastAsia"/>
                <w:sz w:val="22"/>
                <w:szCs w:val="22"/>
              </w:rPr>
            </w:pPr>
            <w:r>
              <w:rPr>
                <w:rFonts w:hint="eastAsia" w:asciiTheme="minorEastAsia" w:hAnsiTheme="minorEastAsia" w:cstheme="minorEastAsia"/>
                <w:color w:val="000000"/>
                <w:kern w:val="0"/>
                <w:sz w:val="22"/>
                <w:szCs w:val="22"/>
              </w:rPr>
              <w:t>7.未演示不得分。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continue"/>
            <w:vAlign w:val="center"/>
          </w:tcPr>
          <w:p>
            <w:pPr>
              <w:ind w:firstLine="440"/>
              <w:jc w:val="center"/>
              <w:rPr>
                <w:rFonts w:asciiTheme="minorEastAsia" w:hAnsiTheme="minorEastAsia" w:cstheme="minorEastAsia"/>
                <w:sz w:val="22"/>
                <w:szCs w:val="22"/>
              </w:rPr>
            </w:pPr>
          </w:p>
        </w:tc>
        <w:tc>
          <w:tcPr>
            <w:tcW w:w="961" w:type="dxa"/>
            <w:shd w:val="clear" w:color="auto" w:fill="auto"/>
            <w:vAlign w:val="center"/>
          </w:tcPr>
          <w:p>
            <w:pPr>
              <w:ind w:firstLine="220" w:firstLineChars="100"/>
              <w:rPr>
                <w:rFonts w:asciiTheme="minorEastAsia" w:hAnsiTheme="minorEastAsia" w:cstheme="minorEastAsia"/>
                <w:sz w:val="22"/>
                <w:szCs w:val="22"/>
              </w:rPr>
            </w:pPr>
            <w:r>
              <w:rPr>
                <w:rFonts w:hint="eastAsia" w:asciiTheme="minorEastAsia" w:hAnsiTheme="minorEastAsia" w:cstheme="minorEastAsia"/>
                <w:sz w:val="22"/>
                <w:szCs w:val="22"/>
              </w:rPr>
              <w:t>3分</w:t>
            </w:r>
          </w:p>
        </w:tc>
        <w:tc>
          <w:tcPr>
            <w:tcW w:w="1770" w:type="dxa"/>
            <w:shd w:val="clear" w:color="auto" w:fill="auto"/>
            <w:vAlign w:val="center"/>
          </w:tcPr>
          <w:p>
            <w:pPr>
              <w:rPr>
                <w:rFonts w:asciiTheme="minorEastAsia" w:hAnsiTheme="minorEastAsia" w:cstheme="minorEastAsia"/>
                <w:sz w:val="22"/>
                <w:szCs w:val="22"/>
              </w:rPr>
            </w:pPr>
            <w:r>
              <w:rPr>
                <w:rFonts w:hint="eastAsia" w:asciiTheme="minorEastAsia" w:hAnsiTheme="minorEastAsia" w:cstheme="minorEastAsia"/>
                <w:sz w:val="22"/>
                <w:szCs w:val="22"/>
              </w:rPr>
              <w:t>对本项目的理解程度</w:t>
            </w:r>
          </w:p>
        </w:tc>
        <w:tc>
          <w:tcPr>
            <w:tcW w:w="5880" w:type="dxa"/>
            <w:shd w:val="clear" w:color="auto" w:fill="auto"/>
            <w:vAlign w:val="center"/>
          </w:tcPr>
          <w:p>
            <w:pPr>
              <w:adjustRightInd w:val="0"/>
              <w:snapToGrid w:val="0"/>
              <w:spacing w:line="340" w:lineRule="exact"/>
              <w:ind w:left="420" w:leftChars="200"/>
              <w:jc w:val="left"/>
              <w:rPr>
                <w:rFonts w:asciiTheme="minorEastAsia" w:hAnsiTheme="minorEastAsia" w:cstheme="minorEastAsia"/>
                <w:color w:val="000000"/>
                <w:kern w:val="0"/>
                <w:sz w:val="22"/>
                <w:szCs w:val="22"/>
              </w:rPr>
            </w:pPr>
            <w:r>
              <w:rPr>
                <w:rFonts w:hint="eastAsia" w:asciiTheme="minorEastAsia" w:hAnsiTheme="minorEastAsia" w:cstheme="minorEastAsia"/>
                <w:color w:val="000000"/>
                <w:kern w:val="0"/>
                <w:sz w:val="22"/>
                <w:szCs w:val="22"/>
              </w:rPr>
              <w:t>各投标人对本项目需求书的理解和响应情况：</w:t>
            </w:r>
          </w:p>
          <w:p>
            <w:pPr>
              <w:adjustRightInd w:val="0"/>
              <w:snapToGrid w:val="0"/>
              <w:spacing w:line="340" w:lineRule="exact"/>
              <w:ind w:firstLine="440" w:firstLineChars="200"/>
              <w:jc w:val="left"/>
              <w:rPr>
                <w:rFonts w:asciiTheme="minorEastAsia" w:hAnsiTheme="minorEastAsia" w:cstheme="minorEastAsia"/>
                <w:color w:val="000000"/>
                <w:kern w:val="0"/>
                <w:sz w:val="22"/>
                <w:szCs w:val="22"/>
              </w:rPr>
            </w:pPr>
            <w:r>
              <w:rPr>
                <w:rFonts w:hint="eastAsia" w:asciiTheme="minorEastAsia" w:hAnsiTheme="minorEastAsia" w:cstheme="minorEastAsia"/>
                <w:color w:val="000000"/>
                <w:kern w:val="0"/>
                <w:sz w:val="22"/>
                <w:szCs w:val="22"/>
              </w:rPr>
              <w:t>1</w:t>
            </w:r>
            <w:r>
              <w:rPr>
                <w:rFonts w:asciiTheme="minorEastAsia" w:hAnsiTheme="minorEastAsia" w:cstheme="minorEastAsia"/>
                <w:color w:val="000000"/>
                <w:kern w:val="0"/>
                <w:sz w:val="22"/>
                <w:szCs w:val="22"/>
              </w:rPr>
              <w:t>.</w:t>
            </w:r>
            <w:r>
              <w:rPr>
                <w:rFonts w:hint="eastAsia" w:asciiTheme="minorEastAsia" w:hAnsiTheme="minorEastAsia" w:cstheme="minorEastAsia"/>
                <w:color w:val="000000"/>
                <w:kern w:val="0"/>
                <w:sz w:val="22"/>
                <w:szCs w:val="22"/>
              </w:rPr>
              <w:t xml:space="preserve">对本项目的需求书全面熟悉，对项目背景、目标、内容有全面、正确的理解并完全响应采购服务内容的，得3分 </w:t>
            </w:r>
          </w:p>
          <w:p>
            <w:pPr>
              <w:adjustRightInd w:val="0"/>
              <w:snapToGrid w:val="0"/>
              <w:spacing w:line="340" w:lineRule="exact"/>
              <w:ind w:firstLine="440" w:firstLineChars="200"/>
              <w:rPr>
                <w:rFonts w:asciiTheme="minorEastAsia" w:hAnsiTheme="minorEastAsia" w:cstheme="minorEastAsia"/>
                <w:color w:val="000000"/>
                <w:kern w:val="0"/>
                <w:sz w:val="22"/>
                <w:szCs w:val="22"/>
              </w:rPr>
            </w:pPr>
            <w:r>
              <w:rPr>
                <w:rFonts w:hint="eastAsia" w:asciiTheme="minorEastAsia" w:hAnsiTheme="minorEastAsia" w:cstheme="minorEastAsia"/>
                <w:color w:val="000000"/>
                <w:kern w:val="0"/>
                <w:sz w:val="22"/>
                <w:szCs w:val="22"/>
              </w:rPr>
              <w:t>2.对本项目需求书能基本熟悉，基本理解项目背景、目标、内容并响应采购服务内容的，得1分。</w:t>
            </w:r>
          </w:p>
          <w:p>
            <w:pPr>
              <w:adjustRightInd w:val="0"/>
              <w:snapToGrid w:val="0"/>
              <w:spacing w:line="340" w:lineRule="exact"/>
              <w:ind w:firstLine="440" w:firstLineChars="200"/>
              <w:rPr>
                <w:rFonts w:asciiTheme="minorEastAsia" w:hAnsiTheme="minorEastAsia" w:cstheme="minorEastAsia"/>
                <w:color w:val="000000"/>
                <w:kern w:val="0"/>
                <w:sz w:val="22"/>
                <w:szCs w:val="22"/>
              </w:rPr>
            </w:pPr>
            <w:r>
              <w:rPr>
                <w:rFonts w:hint="eastAsia" w:asciiTheme="minorEastAsia" w:hAnsiTheme="minorEastAsia" w:cstheme="minorEastAsia"/>
                <w:color w:val="000000"/>
                <w:kern w:val="0"/>
                <w:sz w:val="22"/>
                <w:szCs w:val="22"/>
              </w:rPr>
              <w:t>3.对本项目需求书理解不到位、响应采购服务内容不完全的，不得分。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continue"/>
            <w:vAlign w:val="center"/>
          </w:tcPr>
          <w:p>
            <w:pPr>
              <w:ind w:firstLine="440"/>
              <w:jc w:val="center"/>
              <w:rPr>
                <w:rFonts w:asciiTheme="minorEastAsia" w:hAnsiTheme="minorEastAsia" w:cstheme="minorEastAsia"/>
                <w:sz w:val="22"/>
                <w:szCs w:val="22"/>
              </w:rPr>
            </w:pPr>
          </w:p>
        </w:tc>
        <w:tc>
          <w:tcPr>
            <w:tcW w:w="961" w:type="dxa"/>
            <w:shd w:val="clear" w:color="auto" w:fill="auto"/>
            <w:vAlign w:val="center"/>
          </w:tcPr>
          <w:p>
            <w:pPr>
              <w:ind w:firstLine="220" w:firstLineChars="100"/>
              <w:rPr>
                <w:rFonts w:asciiTheme="minorEastAsia" w:hAnsiTheme="minorEastAsia" w:cstheme="minorEastAsia"/>
                <w:sz w:val="22"/>
                <w:szCs w:val="22"/>
              </w:rPr>
            </w:pPr>
            <w:r>
              <w:rPr>
                <w:rFonts w:hint="eastAsia" w:asciiTheme="minorEastAsia" w:hAnsiTheme="minorEastAsia" w:cstheme="minorEastAsia"/>
                <w:sz w:val="22"/>
                <w:szCs w:val="22"/>
              </w:rPr>
              <w:t>4分</w:t>
            </w:r>
          </w:p>
        </w:tc>
        <w:tc>
          <w:tcPr>
            <w:tcW w:w="1770" w:type="dxa"/>
            <w:shd w:val="clear" w:color="auto" w:fill="auto"/>
            <w:vAlign w:val="center"/>
          </w:tcPr>
          <w:p>
            <w:pPr>
              <w:ind w:firstLine="220" w:firstLineChars="100"/>
              <w:rPr>
                <w:rFonts w:asciiTheme="minorEastAsia" w:hAnsiTheme="minorEastAsia" w:cstheme="minorEastAsia"/>
                <w:sz w:val="22"/>
                <w:szCs w:val="22"/>
              </w:rPr>
            </w:pPr>
            <w:r>
              <w:rPr>
                <w:rFonts w:hint="eastAsia" w:asciiTheme="minorEastAsia" w:hAnsiTheme="minorEastAsia" w:cstheme="minorEastAsia"/>
                <w:sz w:val="22"/>
                <w:szCs w:val="22"/>
              </w:rPr>
              <w:t>实施方案</w:t>
            </w:r>
          </w:p>
        </w:tc>
        <w:tc>
          <w:tcPr>
            <w:tcW w:w="5880" w:type="dxa"/>
            <w:shd w:val="clear" w:color="auto" w:fill="auto"/>
            <w:vAlign w:val="center"/>
          </w:tcPr>
          <w:p>
            <w:pPr>
              <w:ind w:firstLine="440"/>
              <w:rPr>
                <w:rFonts w:asciiTheme="minorEastAsia" w:hAnsiTheme="minorEastAsia" w:cstheme="minorEastAsia"/>
                <w:sz w:val="22"/>
                <w:szCs w:val="22"/>
              </w:rPr>
            </w:pPr>
            <w:r>
              <w:rPr>
                <w:rFonts w:hint="eastAsia" w:asciiTheme="minorEastAsia" w:hAnsiTheme="minorEastAsia" w:cstheme="minorEastAsia"/>
                <w:sz w:val="22"/>
                <w:szCs w:val="22"/>
              </w:rPr>
              <w:t>根据有效投标人项目管理（包括项目组织管理、人员管理、技术管理、进度管理等）、项目实施方案、验收方案等方面进行评审：</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（1）方案详细具体、具有针对性、可操作性强得4分；</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（3）方案一般、针对性一般、可操作性一般得2分；</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（4）方案不具有针对性、可操作较差得1分；</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（5）无提供相应方案得0分。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vMerge w:val="continue"/>
            <w:vAlign w:val="center"/>
          </w:tcPr>
          <w:p>
            <w:pPr>
              <w:ind w:firstLine="440"/>
              <w:jc w:val="center"/>
              <w:rPr>
                <w:rFonts w:asciiTheme="minorEastAsia" w:hAnsiTheme="minorEastAsia" w:cstheme="minorEastAsia"/>
                <w:sz w:val="22"/>
                <w:szCs w:val="22"/>
              </w:rPr>
            </w:pPr>
          </w:p>
        </w:tc>
        <w:tc>
          <w:tcPr>
            <w:tcW w:w="961" w:type="dxa"/>
            <w:shd w:val="clear" w:color="auto" w:fill="auto"/>
            <w:vAlign w:val="center"/>
          </w:tcPr>
          <w:p>
            <w:pPr>
              <w:ind w:firstLine="220" w:firstLineChars="100"/>
              <w:rPr>
                <w:rFonts w:asciiTheme="minorEastAsia" w:hAnsiTheme="minorEastAsia" w:cstheme="minorEastAsia"/>
                <w:sz w:val="22"/>
                <w:szCs w:val="22"/>
              </w:rPr>
            </w:pPr>
            <w:r>
              <w:rPr>
                <w:rFonts w:hint="eastAsia" w:asciiTheme="minorEastAsia" w:hAnsiTheme="minorEastAsia" w:cstheme="minorEastAsia"/>
                <w:sz w:val="22"/>
                <w:szCs w:val="22"/>
              </w:rPr>
              <w:t>3分</w:t>
            </w:r>
          </w:p>
        </w:tc>
        <w:tc>
          <w:tcPr>
            <w:tcW w:w="1770" w:type="dxa"/>
            <w:shd w:val="clear" w:color="auto" w:fill="auto"/>
            <w:vAlign w:val="center"/>
          </w:tcPr>
          <w:p>
            <w:pPr>
              <w:rPr>
                <w:rFonts w:asciiTheme="minorEastAsia" w:hAnsiTheme="minorEastAsia" w:cstheme="minorEastAsia"/>
                <w:sz w:val="22"/>
                <w:szCs w:val="22"/>
              </w:rPr>
            </w:pPr>
            <w:r>
              <w:rPr>
                <w:rFonts w:hint="eastAsia" w:asciiTheme="minorEastAsia" w:hAnsiTheme="minorEastAsia" w:cstheme="minorEastAsia"/>
                <w:sz w:val="22"/>
                <w:szCs w:val="22"/>
              </w:rPr>
              <w:t>售后服务和技术培训方案</w:t>
            </w:r>
          </w:p>
        </w:tc>
        <w:tc>
          <w:tcPr>
            <w:tcW w:w="5880" w:type="dxa"/>
            <w:shd w:val="clear" w:color="auto" w:fill="auto"/>
            <w:vAlign w:val="center"/>
          </w:tcPr>
          <w:p>
            <w:pPr>
              <w:ind w:firstLine="440"/>
              <w:rPr>
                <w:rFonts w:asciiTheme="minorEastAsia" w:hAnsiTheme="minorEastAsia" w:cstheme="minorEastAsia"/>
                <w:sz w:val="22"/>
                <w:szCs w:val="22"/>
              </w:rPr>
            </w:pPr>
            <w:r>
              <w:rPr>
                <w:rFonts w:hint="eastAsia" w:asciiTheme="minorEastAsia" w:hAnsiTheme="minorEastAsia" w:cstheme="minorEastAsia"/>
                <w:sz w:val="22"/>
                <w:szCs w:val="22"/>
              </w:rPr>
              <w:t>根据各供应商提供的售后服务和技术培训方案进行评审：</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 xml:space="preserve">（1）技术支持方案和售后服务方案详细，可行性高，得3分； </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 xml:space="preserve">（2）技术支持方案和售后服务方案较合理，可行性较高，得2分； </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 xml:space="preserve">（3）技术支持方案和售后服务方案不够合理，得1分； </w:t>
            </w:r>
            <w:r>
              <w:rPr>
                <w:rFonts w:hint="eastAsia" w:asciiTheme="minorEastAsia" w:hAnsiTheme="minorEastAsia" w:cstheme="minorEastAsia"/>
                <w:sz w:val="22"/>
                <w:szCs w:val="22"/>
              </w:rPr>
              <w:br w:type="textWrapping"/>
            </w:r>
            <w:r>
              <w:rPr>
                <w:rFonts w:hint="eastAsia" w:asciiTheme="minorEastAsia" w:hAnsiTheme="minorEastAsia" w:cstheme="minorEastAsia"/>
                <w:sz w:val="22"/>
                <w:szCs w:val="22"/>
              </w:rPr>
              <w:t>（4）无技术支持及售后服务方案，得0分。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9" w:type="dxa"/>
            <w:vAlign w:val="center"/>
          </w:tcPr>
          <w:p>
            <w:pPr>
              <w:rPr>
                <w:rFonts w:asciiTheme="minorEastAsia" w:hAnsiTheme="minorEastAsia" w:cstheme="minorEastAsia"/>
                <w:sz w:val="22"/>
                <w:szCs w:val="22"/>
              </w:rPr>
            </w:pPr>
            <w:r>
              <w:rPr>
                <w:rFonts w:hint="eastAsia" w:asciiTheme="minorEastAsia" w:hAnsiTheme="minorEastAsia" w:cstheme="minorEastAsia"/>
                <w:sz w:val="22"/>
                <w:szCs w:val="22"/>
              </w:rPr>
              <w:t>合计</w:t>
            </w:r>
          </w:p>
        </w:tc>
        <w:tc>
          <w:tcPr>
            <w:tcW w:w="8611" w:type="dxa"/>
            <w:gridSpan w:val="3"/>
            <w:shd w:val="clear" w:color="auto" w:fill="auto"/>
            <w:vAlign w:val="center"/>
          </w:tcPr>
          <w:p>
            <w:pPr>
              <w:ind w:firstLine="440"/>
              <w:jc w:val="center"/>
              <w:rPr>
                <w:rFonts w:asciiTheme="minorEastAsia" w:hAnsiTheme="minorEastAsia" w:cstheme="minorEastAsia"/>
                <w:sz w:val="22"/>
                <w:szCs w:val="22"/>
              </w:rPr>
            </w:pPr>
            <w:r>
              <w:rPr>
                <w:rFonts w:hint="eastAsia" w:asciiTheme="minorEastAsia" w:hAnsiTheme="minorEastAsia" w:cstheme="minorEastAsia"/>
                <w:sz w:val="22"/>
                <w:szCs w:val="22"/>
              </w:rPr>
              <w:t>70分</w:t>
            </w:r>
          </w:p>
        </w:tc>
      </w:tr>
    </w:tbl>
    <w:p>
      <w:pPr>
        <w:ind w:firstLine="400" w:firstLineChars="200"/>
        <w:rPr>
          <w:rFonts w:ascii="Times New Roman" w:hAnsi="Times New Roman" w:eastAsia="宋体" w:cs="Times New Roman"/>
          <w:sz w:val="20"/>
        </w:rPr>
      </w:pPr>
    </w:p>
    <w:bookmarkEnd w:id="0"/>
    <w:p>
      <w:pPr>
        <w:ind w:firstLine="400" w:firstLineChars="200"/>
        <w:rPr>
          <w:rFonts w:ascii="Times New Roman" w:hAnsi="Times New Roman" w:eastAsia="宋体" w:cs="Times New Roman"/>
          <w:sz w:val="20"/>
        </w:rPr>
      </w:pPr>
    </w:p>
    <w:p>
      <w:pPr>
        <w:widowControl/>
        <w:tabs>
          <w:tab w:val="left" w:pos="567"/>
        </w:tabs>
        <w:spacing w:before="156" w:beforeLines="50" w:after="156" w:afterLines="50" w:line="360" w:lineRule="auto"/>
        <w:ind w:firstLine="480"/>
        <w:jc w:val="center"/>
        <w:rPr>
          <w:rFonts w:ascii="宋体" w:hAnsi="宋体" w:eastAsia="宋体" w:cs="宋体"/>
          <w:b/>
          <w:kern w:val="0"/>
          <w:sz w:val="24"/>
        </w:rPr>
      </w:pPr>
      <w:r>
        <w:rPr>
          <w:rFonts w:hint="eastAsia" w:ascii="宋体" w:hAnsi="宋体" w:eastAsia="宋体" w:cs="宋体"/>
          <w:b/>
          <w:kern w:val="0"/>
          <w:sz w:val="24"/>
        </w:rPr>
        <w:t>商务评分表（30分）</w:t>
      </w:r>
    </w:p>
    <w:tbl>
      <w:tblPr>
        <w:tblStyle w:val="3"/>
        <w:tblW w:w="476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09"/>
        <w:gridCol w:w="1282"/>
        <w:gridCol w:w="6812"/>
        <w:gridCol w:w="6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40" w:lineRule="exact"/>
              <w:rPr>
                <w:rFonts w:asciiTheme="minorEastAsia" w:hAnsiTheme="minorEastAsia" w:cstheme="minorEastAsia"/>
                <w:sz w:val="22"/>
                <w:szCs w:val="22"/>
              </w:rPr>
            </w:pPr>
            <w:r>
              <w:rPr>
                <w:rFonts w:hint="eastAsia" w:asciiTheme="minorEastAsia" w:hAnsiTheme="minorEastAsia" w:cstheme="minorEastAsia"/>
                <w:sz w:val="22"/>
                <w:szCs w:val="22"/>
              </w:rPr>
              <w:t>序号</w:t>
            </w:r>
          </w:p>
        </w:tc>
        <w:tc>
          <w:tcPr>
            <w:tcW w:w="675" w:type="pct"/>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40" w:lineRule="exact"/>
              <w:ind w:firstLine="110" w:firstLineChars="50"/>
              <w:rPr>
                <w:rFonts w:asciiTheme="minorEastAsia" w:hAnsiTheme="minorEastAsia" w:cstheme="minorEastAsia"/>
                <w:sz w:val="22"/>
                <w:szCs w:val="22"/>
              </w:rPr>
            </w:pPr>
            <w:r>
              <w:rPr>
                <w:rFonts w:hint="eastAsia" w:asciiTheme="minorEastAsia" w:hAnsiTheme="minorEastAsia" w:cstheme="minorEastAsia"/>
                <w:sz w:val="22"/>
                <w:szCs w:val="22"/>
              </w:rPr>
              <w:t>评审项目</w:t>
            </w:r>
          </w:p>
        </w:tc>
        <w:tc>
          <w:tcPr>
            <w:tcW w:w="3586" w:type="pct"/>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40" w:lineRule="exact"/>
              <w:ind w:firstLine="440"/>
              <w:jc w:val="center"/>
              <w:rPr>
                <w:rFonts w:asciiTheme="minorEastAsia" w:hAnsiTheme="minorEastAsia" w:cstheme="minorEastAsia"/>
                <w:sz w:val="22"/>
                <w:szCs w:val="22"/>
              </w:rPr>
            </w:pPr>
            <w:r>
              <w:rPr>
                <w:rFonts w:hint="eastAsia" w:asciiTheme="minorEastAsia" w:hAnsiTheme="minorEastAsia" w:cstheme="minorEastAsia"/>
                <w:sz w:val="22"/>
                <w:szCs w:val="22"/>
              </w:rPr>
              <w:t>评分范围</w:t>
            </w:r>
          </w:p>
        </w:tc>
        <w:tc>
          <w:tcPr>
            <w:tcW w:w="366" w:type="pct"/>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40" w:lineRule="exact"/>
              <w:rPr>
                <w:rFonts w:asciiTheme="minorEastAsia" w:hAnsiTheme="minorEastAsia" w:cstheme="minorEastAsia"/>
                <w:sz w:val="22"/>
                <w:szCs w:val="22"/>
              </w:rPr>
            </w:pPr>
            <w:r>
              <w:rPr>
                <w:rFonts w:hint="eastAsia" w:asciiTheme="minorEastAsia" w:hAnsiTheme="minorEastAsia" w:cstheme="minorEastAsia"/>
                <w:sz w:val="22"/>
                <w:szCs w:val="22"/>
              </w:rPr>
              <w:t>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91"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20" w:firstLineChars="100"/>
              <w:rPr>
                <w:rFonts w:asciiTheme="minorEastAsia" w:hAnsiTheme="minorEastAsia" w:cstheme="minorEastAsia"/>
                <w:sz w:val="22"/>
                <w:szCs w:val="22"/>
              </w:rPr>
            </w:pPr>
            <w:r>
              <w:rPr>
                <w:rFonts w:hint="eastAsia" w:asciiTheme="minorEastAsia" w:hAnsiTheme="minorEastAsia" w:cstheme="minorEastAsia"/>
                <w:sz w:val="22"/>
                <w:szCs w:val="22"/>
              </w:rPr>
              <w:t>1</w:t>
            </w:r>
          </w:p>
        </w:tc>
        <w:tc>
          <w:tcPr>
            <w:tcW w:w="67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110" w:firstLineChars="50"/>
              <w:rPr>
                <w:rFonts w:asciiTheme="minorEastAsia" w:hAnsiTheme="minorEastAsia" w:cstheme="minorEastAsia"/>
                <w:sz w:val="22"/>
                <w:szCs w:val="22"/>
              </w:rPr>
            </w:pPr>
            <w:r>
              <w:rPr>
                <w:rFonts w:hint="eastAsia" w:asciiTheme="minorEastAsia" w:hAnsiTheme="minorEastAsia" w:cstheme="minorEastAsia"/>
                <w:sz w:val="22"/>
                <w:szCs w:val="22"/>
              </w:rPr>
              <w:t>同类业绩</w:t>
            </w:r>
          </w:p>
        </w:tc>
        <w:tc>
          <w:tcPr>
            <w:tcW w:w="3586" w:type="pct"/>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40"/>
              <w:jc w:val="left"/>
              <w:rPr>
                <w:rFonts w:ascii="宋体" w:hAnsi="宋体" w:eastAsia="宋体" w:cs="宋体"/>
                <w:color w:val="000000"/>
                <w:sz w:val="22"/>
                <w:szCs w:val="22"/>
                <w:lang w:bidi="ar"/>
              </w:rPr>
            </w:pPr>
            <w:r>
              <w:rPr>
                <w:rFonts w:hint="eastAsia" w:ascii="宋体" w:hAnsi="宋体" w:eastAsia="宋体" w:cs="宋体"/>
                <w:color w:val="000000"/>
                <w:kern w:val="0"/>
                <w:sz w:val="22"/>
                <w:szCs w:val="22"/>
                <w:lang w:bidi="ar"/>
              </w:rPr>
              <w:t>投标人自</w:t>
            </w:r>
            <w:r>
              <w:rPr>
                <w:rFonts w:ascii="宋体" w:hAnsi="宋体" w:eastAsia="宋体" w:cs="宋体"/>
                <w:sz w:val="22"/>
                <w:szCs w:val="22"/>
                <w:lang w:bidi="ar"/>
              </w:rPr>
              <w:t>2020</w:t>
            </w:r>
            <w:r>
              <w:rPr>
                <w:rFonts w:ascii="宋体" w:hAnsi="宋体" w:eastAsia="宋体" w:cs="宋体"/>
                <w:color w:val="000000"/>
                <w:sz w:val="22"/>
                <w:szCs w:val="22"/>
                <w:lang w:bidi="ar"/>
              </w:rPr>
              <w:t>年1月1日（以合同签订时间为准）至今承担过同类</w:t>
            </w:r>
            <w:r>
              <w:rPr>
                <w:rFonts w:ascii="宋体" w:hAnsi="宋体" w:eastAsia="宋体" w:cs="宋体"/>
                <w:sz w:val="22"/>
                <w:szCs w:val="22"/>
                <w:lang w:bidi="ar"/>
              </w:rPr>
              <w:t>人才培养类</w:t>
            </w:r>
            <w:r>
              <w:rPr>
                <w:rFonts w:ascii="宋体" w:hAnsi="宋体" w:eastAsia="宋体" w:cs="宋体"/>
                <w:color w:val="000000"/>
                <w:sz w:val="22"/>
                <w:szCs w:val="22"/>
                <w:lang w:bidi="ar"/>
              </w:rPr>
              <w:t>项目业绩，每提供一个得0.5分，满分5分。</w:t>
            </w:r>
          </w:p>
          <w:p>
            <w:pPr>
              <w:adjustRightInd w:val="0"/>
              <w:snapToGrid w:val="0"/>
              <w:spacing w:line="340" w:lineRule="exact"/>
              <w:ind w:firstLine="440"/>
              <w:rPr>
                <w:rFonts w:asciiTheme="minorEastAsia" w:hAnsiTheme="minorEastAsia" w:cstheme="minorEastAsia"/>
                <w:sz w:val="22"/>
                <w:szCs w:val="22"/>
              </w:rPr>
            </w:pPr>
            <w:r>
              <w:rPr>
                <w:rFonts w:ascii="宋体" w:hAnsi="宋体" w:eastAsia="宋体" w:cs="宋体"/>
                <w:color w:val="000000"/>
                <w:sz w:val="22"/>
                <w:szCs w:val="22"/>
                <w:lang w:bidi="ar"/>
              </w:rPr>
              <w:t>注：须提供有效的合同复印件（包括采购内容、采购金额、签约日期、双方盖章）并加盖投标人公章，否则不得分。</w:t>
            </w:r>
          </w:p>
        </w:tc>
        <w:tc>
          <w:tcPr>
            <w:tcW w:w="3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20" w:firstLineChars="100"/>
              <w:rPr>
                <w:rFonts w:asciiTheme="minorEastAsia" w:hAnsiTheme="minorEastAsia" w:cstheme="minorEastAsia"/>
                <w:sz w:val="22"/>
                <w:szCs w:val="22"/>
              </w:rPr>
            </w:pPr>
            <w:r>
              <w:rPr>
                <w:rFonts w:hint="eastAsia" w:asciiTheme="minorEastAsia" w:hAnsiTheme="minorEastAsia" w:cstheme="minorEastAsia"/>
                <w:sz w:val="22"/>
                <w:szCs w:val="22"/>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91"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20" w:firstLineChars="100"/>
              <w:rPr>
                <w:rFonts w:asciiTheme="minorEastAsia" w:hAnsiTheme="minorEastAsia" w:cstheme="minorEastAsia"/>
                <w:sz w:val="22"/>
                <w:szCs w:val="22"/>
              </w:rPr>
            </w:pPr>
            <w:r>
              <w:rPr>
                <w:rFonts w:hint="eastAsia" w:asciiTheme="minorEastAsia" w:hAnsiTheme="minorEastAsia" w:cstheme="minorEastAsia"/>
                <w:sz w:val="22"/>
                <w:szCs w:val="22"/>
              </w:rPr>
              <w:t>2</w:t>
            </w:r>
          </w:p>
        </w:tc>
        <w:tc>
          <w:tcPr>
            <w:tcW w:w="67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Theme="minorEastAsia" w:hAnsiTheme="minorEastAsia" w:cstheme="minorEastAsia"/>
                <w:sz w:val="22"/>
                <w:szCs w:val="22"/>
              </w:rPr>
            </w:pPr>
            <w:r>
              <w:rPr>
                <w:rFonts w:hint="eastAsia" w:ascii="宋体" w:hAnsi="宋体" w:eastAsia="宋体" w:cs="宋体"/>
                <w:color w:val="000000"/>
                <w:kern w:val="0"/>
                <w:sz w:val="22"/>
                <w:szCs w:val="22"/>
                <w:lang w:bidi="ar"/>
              </w:rPr>
              <w:t>用户满意度评价</w:t>
            </w:r>
          </w:p>
        </w:tc>
        <w:tc>
          <w:tcPr>
            <w:tcW w:w="3586" w:type="pct"/>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440"/>
              <w:jc w:val="left"/>
              <w:rPr>
                <w:rFonts w:ascii="宋体" w:hAnsi="宋体" w:eastAsia="宋体" w:cs="宋体"/>
                <w:color w:val="000000"/>
                <w:sz w:val="22"/>
                <w:szCs w:val="22"/>
                <w:lang w:bidi="ar"/>
              </w:rPr>
            </w:pPr>
            <w:r>
              <w:rPr>
                <w:rFonts w:ascii="宋体" w:hAnsi="宋体" w:eastAsia="宋体" w:cs="宋体"/>
                <w:color w:val="000000"/>
                <w:sz w:val="22"/>
                <w:szCs w:val="22"/>
                <w:lang w:bidi="ar"/>
              </w:rPr>
              <w:t>投标人</w:t>
            </w:r>
            <w:r>
              <w:rPr>
                <w:rFonts w:ascii="宋体" w:hAnsi="宋体" w:eastAsia="宋体" w:cs="宋体"/>
                <w:sz w:val="22"/>
                <w:szCs w:val="22"/>
                <w:lang w:bidi="ar"/>
              </w:rPr>
              <w:t>自2020</w:t>
            </w:r>
            <w:r>
              <w:rPr>
                <w:rFonts w:ascii="宋体" w:hAnsi="宋体" w:eastAsia="宋体" w:cs="宋体"/>
                <w:color w:val="000000"/>
                <w:sz w:val="22"/>
                <w:szCs w:val="22"/>
                <w:lang w:bidi="ar"/>
              </w:rPr>
              <w:t>年1月1日至今承担的同类项目业绩具有用户满意度评价为满意或优或同等及以上评价的，每提供一个得1分，满分5分。</w:t>
            </w:r>
          </w:p>
          <w:p>
            <w:pPr>
              <w:adjustRightInd w:val="0"/>
              <w:snapToGrid w:val="0"/>
              <w:spacing w:line="340" w:lineRule="exact"/>
              <w:ind w:firstLine="440"/>
              <w:rPr>
                <w:rFonts w:asciiTheme="minorEastAsia" w:hAnsiTheme="minorEastAsia" w:cstheme="minorEastAsia"/>
                <w:sz w:val="22"/>
                <w:szCs w:val="22"/>
              </w:rPr>
            </w:pPr>
            <w:r>
              <w:rPr>
                <w:rFonts w:ascii="宋体" w:hAnsi="宋体" w:eastAsia="宋体" w:cs="宋体"/>
                <w:color w:val="000000"/>
                <w:sz w:val="22"/>
                <w:szCs w:val="22"/>
                <w:lang w:bidi="ar"/>
              </w:rPr>
              <w:t>注：须提供用户满意度评价复印件并加盖投标人公章，否则不得分。</w:t>
            </w:r>
          </w:p>
        </w:tc>
        <w:tc>
          <w:tcPr>
            <w:tcW w:w="3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20" w:firstLineChars="100"/>
              <w:rPr>
                <w:rFonts w:asciiTheme="minorEastAsia" w:hAnsiTheme="minorEastAsia" w:cstheme="minorEastAsia"/>
                <w:sz w:val="22"/>
                <w:szCs w:val="22"/>
              </w:rPr>
            </w:pPr>
            <w:r>
              <w:rPr>
                <w:rFonts w:hint="eastAsia" w:asciiTheme="minorEastAsia" w:hAnsiTheme="minorEastAsia" w:cstheme="minorEastAsia"/>
                <w:sz w:val="22"/>
                <w:szCs w:val="22"/>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91"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20" w:firstLineChars="100"/>
              <w:rPr>
                <w:rFonts w:asciiTheme="minorEastAsia" w:hAnsiTheme="minorEastAsia" w:cstheme="minorEastAsia"/>
                <w:sz w:val="22"/>
                <w:szCs w:val="22"/>
              </w:rPr>
            </w:pPr>
            <w:r>
              <w:rPr>
                <w:rFonts w:hint="eastAsia" w:asciiTheme="minorEastAsia" w:hAnsiTheme="minorEastAsia" w:cstheme="minorEastAsia"/>
                <w:sz w:val="22"/>
                <w:szCs w:val="22"/>
              </w:rPr>
              <w:t>3</w:t>
            </w:r>
          </w:p>
        </w:tc>
        <w:tc>
          <w:tcPr>
            <w:tcW w:w="67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Theme="minorEastAsia" w:hAnsiTheme="minorEastAsia" w:cstheme="minorEastAsia"/>
                <w:sz w:val="22"/>
                <w:szCs w:val="22"/>
              </w:rPr>
            </w:pPr>
            <w:r>
              <w:rPr>
                <w:rFonts w:hint="eastAsia" w:ascii="宋体" w:hAnsi="宋体" w:eastAsia="宋体" w:cs="宋体"/>
                <w:color w:val="000000"/>
                <w:kern w:val="0"/>
                <w:sz w:val="22"/>
                <w:szCs w:val="22"/>
                <w:lang w:bidi="ar"/>
              </w:rPr>
              <w:t>项目负责人</w:t>
            </w:r>
          </w:p>
        </w:tc>
        <w:tc>
          <w:tcPr>
            <w:tcW w:w="35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440"/>
              <w:rPr>
                <w:rFonts w:asciiTheme="minorEastAsia" w:hAnsiTheme="minorEastAsia" w:cstheme="minorEastAsia"/>
                <w:sz w:val="22"/>
                <w:szCs w:val="22"/>
              </w:rPr>
            </w:pPr>
            <w:r>
              <w:rPr>
                <w:rFonts w:ascii="宋体" w:hAnsi="宋体" w:eastAsia="宋体" w:cs="宋体"/>
                <w:color w:val="000000"/>
                <w:sz w:val="22"/>
                <w:szCs w:val="22"/>
                <w:lang w:bidi="ar"/>
              </w:rPr>
              <w:t>项目负责人具有硕士或以上学历，且具有相关教学方面经历（提供高等学校教师资格证及课时证明）及工信部颁发的大数据资产规划师证书，提供学历证书及教学经历证明得2分，提供大数据资产规划师证书得3分，最高得5分。</w:t>
            </w:r>
            <w:r>
              <w:rPr>
                <w:rFonts w:ascii="宋体" w:hAnsi="宋体" w:eastAsia="宋体" w:cs="宋体"/>
                <w:color w:val="000000"/>
                <w:sz w:val="22"/>
                <w:szCs w:val="22"/>
                <w:lang w:bidi="ar"/>
              </w:rPr>
              <w:br w:type="textWrapping"/>
            </w:r>
            <w:r>
              <w:rPr>
                <w:rFonts w:hint="eastAsia" w:ascii="宋体" w:hAnsi="宋体" w:eastAsia="宋体" w:cs="宋体"/>
                <w:color w:val="000000"/>
                <w:sz w:val="22"/>
                <w:szCs w:val="22"/>
                <w:lang w:bidi="ar"/>
              </w:rPr>
              <w:t xml:space="preserve"> </w:t>
            </w:r>
            <w:r>
              <w:rPr>
                <w:rFonts w:ascii="宋体" w:hAnsi="宋体" w:eastAsia="宋体" w:cs="宋体"/>
                <w:color w:val="000000"/>
                <w:sz w:val="22"/>
                <w:szCs w:val="22"/>
                <w:lang w:bidi="ar"/>
              </w:rPr>
              <w:t xml:space="preserve">   同时提供投标单位为其缴纳的近3个月的社保证明或单位代缴个人所得税税单，并加盖投标人公章。</w:t>
            </w:r>
          </w:p>
        </w:tc>
        <w:tc>
          <w:tcPr>
            <w:tcW w:w="3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20" w:firstLineChars="100"/>
              <w:rPr>
                <w:rFonts w:asciiTheme="minorEastAsia" w:hAnsiTheme="minorEastAsia" w:cstheme="minorEastAsia"/>
                <w:sz w:val="22"/>
                <w:szCs w:val="22"/>
              </w:rPr>
            </w:pPr>
            <w:r>
              <w:rPr>
                <w:rFonts w:hint="eastAsia" w:asciiTheme="minorEastAsia" w:hAnsiTheme="minorEastAsia" w:cstheme="minorEastAsia"/>
                <w:sz w:val="22"/>
                <w:szCs w:val="22"/>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20" w:firstLineChars="100"/>
              <w:rPr>
                <w:rFonts w:asciiTheme="minorEastAsia" w:hAnsiTheme="minorEastAsia" w:cstheme="minorEastAsia"/>
                <w:sz w:val="22"/>
                <w:szCs w:val="22"/>
              </w:rPr>
            </w:pPr>
            <w:r>
              <w:rPr>
                <w:rFonts w:hint="eastAsia" w:asciiTheme="minorEastAsia" w:hAnsiTheme="minorEastAsia" w:cstheme="minorEastAsia"/>
                <w:sz w:val="22"/>
                <w:szCs w:val="22"/>
              </w:rPr>
              <w:t>4</w:t>
            </w:r>
          </w:p>
        </w:tc>
        <w:tc>
          <w:tcPr>
            <w:tcW w:w="67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110" w:firstLineChars="50"/>
              <w:rPr>
                <w:rFonts w:asciiTheme="minorEastAsia" w:hAnsiTheme="minorEastAsia" w:cstheme="minorEastAsia"/>
                <w:sz w:val="22"/>
                <w:szCs w:val="22"/>
              </w:rPr>
            </w:pPr>
            <w:r>
              <w:rPr>
                <w:rFonts w:hint="eastAsia" w:ascii="宋体" w:hAnsi="宋体" w:eastAsia="宋体" w:cs="宋体"/>
                <w:color w:val="000000"/>
                <w:kern w:val="0"/>
                <w:sz w:val="22"/>
                <w:szCs w:val="22"/>
                <w:lang w:bidi="ar"/>
              </w:rPr>
              <w:t>综合实力</w:t>
            </w:r>
          </w:p>
        </w:tc>
        <w:tc>
          <w:tcPr>
            <w:tcW w:w="35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Theme="minorEastAsia" w:hAnsiTheme="minorEastAsia" w:cstheme="minorEastAsia"/>
                <w:sz w:val="22"/>
                <w:szCs w:val="22"/>
              </w:rPr>
            </w:pPr>
            <w:r>
              <w:rPr>
                <w:rFonts w:hint="eastAsia" w:ascii="宋体" w:hAnsi="宋体" w:eastAsia="宋体" w:cs="宋体"/>
                <w:color w:val="000000"/>
                <w:kern w:val="0"/>
                <w:sz w:val="22"/>
                <w:szCs w:val="22"/>
                <w:lang w:bidi="ar"/>
              </w:rPr>
              <w:t xml:space="preserve">1.投标人具备质量管理体系认证证书，得1分； </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2.投标人具备环境管理体系认证证书，得1分；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3.投标人具备职业健康安全管理体系认证证书，得1分；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4.投标人具备信息技术服务管理体系认证证书，得1分；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5.投标人具备信息安全管理体系认证证书，得1分； </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6.投标人具备CMMI软件资质认证证书3级或3级以上，得1分；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7.投标人具有岗位职能识别相关发明专利证书，得2分； </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8.投标人具备工信部或通信管理局颁发的中华人民共和国增值电信业务经营许可证（业务种类为互联网数据中心业务、互联网接入服务业务），得1分；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9.投标人具有人才培养方案研制类管理平台相关软件著作权得1分；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10.投标人具有产业大数据分析平台相关软件著作权或职业能力分析系统相关软件著作权，每提供得一个得1分，本项最高得2分；</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11.投标人具备产业人才需求大数据分析平台，</w:t>
            </w:r>
            <w:r>
              <w:rPr>
                <w:rFonts w:ascii="宋体" w:hAnsi="宋体" w:eastAsia="宋体" w:cs="宋体"/>
                <w:sz w:val="22"/>
                <w:szCs w:val="22"/>
                <w:lang w:bidi="ar"/>
              </w:rPr>
              <w:t>且其所提供的数据被国家部委级单位使用的相关证明文件</w:t>
            </w:r>
            <w:r>
              <w:rPr>
                <w:rFonts w:ascii="宋体" w:hAnsi="宋体" w:eastAsia="宋体" w:cs="宋体"/>
                <w:color w:val="000000"/>
                <w:sz w:val="22"/>
                <w:szCs w:val="22"/>
                <w:lang w:bidi="ar"/>
              </w:rPr>
              <w:t>，得3分。</w:t>
            </w:r>
            <w:r>
              <w:rPr>
                <w:rFonts w:ascii="宋体" w:hAnsi="宋体" w:eastAsia="宋体" w:cs="宋体"/>
                <w:color w:val="000000"/>
                <w:sz w:val="22"/>
                <w:szCs w:val="22"/>
                <w:lang w:bidi="ar"/>
              </w:rPr>
              <w:br w:type="textWrapping"/>
            </w:r>
            <w:r>
              <w:rPr>
                <w:rFonts w:ascii="宋体" w:hAnsi="宋体" w:eastAsia="宋体" w:cs="宋体"/>
                <w:color w:val="000000"/>
                <w:sz w:val="22"/>
                <w:szCs w:val="22"/>
                <w:lang w:bidi="ar"/>
              </w:rPr>
              <w:t>注：投标人须出具相关证明材料，如相关网站截图或其他证明文件，未按要求提供有效证明材料或提供不清晰导致评委无法识别的均不得分。</w:t>
            </w:r>
          </w:p>
        </w:tc>
        <w:tc>
          <w:tcPr>
            <w:tcW w:w="36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20" w:firstLineChars="100"/>
              <w:rPr>
                <w:rFonts w:asciiTheme="minorEastAsia" w:hAnsiTheme="minorEastAsia" w:cstheme="minorEastAsia"/>
                <w:sz w:val="22"/>
                <w:szCs w:val="22"/>
              </w:rPr>
            </w:pPr>
            <w:r>
              <w:rPr>
                <w:rFonts w:hint="eastAsia" w:asciiTheme="minorEastAsia" w:hAnsiTheme="minorEastAsia" w:cstheme="minorEastAsia"/>
                <w:sz w:val="22"/>
                <w:szCs w:val="22"/>
              </w:rPr>
              <w:t>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spacing w:before="62" w:beforeLines="20" w:after="62" w:afterLines="20" w:line="340" w:lineRule="exact"/>
              <w:rPr>
                <w:rFonts w:asciiTheme="minorEastAsia" w:hAnsiTheme="minorEastAsia" w:cstheme="minorEastAsia"/>
                <w:sz w:val="22"/>
                <w:szCs w:val="22"/>
              </w:rPr>
            </w:pPr>
            <w:r>
              <w:rPr>
                <w:rFonts w:hint="eastAsia" w:asciiTheme="minorEastAsia" w:hAnsiTheme="minorEastAsia" w:cstheme="minorEastAsia"/>
                <w:sz w:val="22"/>
                <w:szCs w:val="22"/>
              </w:rPr>
              <w:t>合计</w:t>
            </w:r>
          </w:p>
        </w:tc>
        <w:tc>
          <w:tcPr>
            <w:tcW w:w="4627" w:type="pct"/>
            <w:gridSpan w:val="3"/>
            <w:tcBorders>
              <w:top w:val="single" w:color="auto" w:sz="4" w:space="0"/>
              <w:left w:val="single" w:color="auto" w:sz="4" w:space="0"/>
              <w:bottom w:val="single" w:color="auto" w:sz="4" w:space="0"/>
            </w:tcBorders>
            <w:vAlign w:val="center"/>
          </w:tcPr>
          <w:p>
            <w:pPr>
              <w:spacing w:before="62" w:beforeLines="20" w:after="62" w:afterLines="20" w:line="340" w:lineRule="exact"/>
              <w:ind w:firstLine="440"/>
              <w:jc w:val="center"/>
              <w:rPr>
                <w:rFonts w:asciiTheme="minorEastAsia" w:hAnsiTheme="minorEastAsia" w:cstheme="minorEastAsia"/>
                <w:sz w:val="22"/>
                <w:szCs w:val="22"/>
              </w:rPr>
            </w:pPr>
            <w:r>
              <w:rPr>
                <w:rFonts w:hint="eastAsia" w:asciiTheme="minorEastAsia" w:hAnsiTheme="minorEastAsia" w:cstheme="minorEastAsia"/>
                <w:sz w:val="22"/>
                <w:szCs w:val="22"/>
              </w:rPr>
              <w:t>30分</w:t>
            </w:r>
          </w:p>
        </w:tc>
      </w:tr>
    </w:tbl>
    <w:p>
      <w:pPr>
        <w:pStyle w:val="2"/>
        <w:spacing w:line="360" w:lineRule="exact"/>
        <w:rPr>
          <w:rFonts w:hAnsi="宋体" w:cs="宋体"/>
          <w:b/>
          <w:bCs/>
          <w:sz w:val="21"/>
        </w:rPr>
      </w:pPr>
    </w:p>
    <w:p>
      <w:pPr>
        <w:spacing w:line="360" w:lineRule="auto"/>
        <w:ind w:firstLine="748" w:firstLineChars="266"/>
        <w:rPr>
          <w:b/>
          <w:sz w:val="28"/>
          <w:szCs w:val="28"/>
        </w:rPr>
      </w:pPr>
      <w:r>
        <w:rPr>
          <w:rFonts w:hint="eastAsia"/>
          <w:b/>
          <w:sz w:val="28"/>
          <w:szCs w:val="28"/>
        </w:rPr>
        <w:t>三、成交候选人推荐原则</w:t>
      </w:r>
    </w:p>
    <w:p>
      <w:pPr>
        <w:snapToGrid w:val="0"/>
        <w:spacing w:line="360" w:lineRule="auto"/>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本项目评审小组将按照得分由高到低顺序排列推荐成交候选供应商。得分相同的，按响应报价由低到高顺序排序，最后报价相同的，按实施方案优劣顺序排列。根据评审小组推荐的成交候选人，由采购单位按顺序根据有关规定书面确定成交供应商。排名第一的成交候选人为第一成交供应商，排名第一的成交候选人放弃成交、因不可抗力提出不能履行合同，或者采购文件规定应当提交质量保证金而在规定的期限内未能提交的，采购单位可以确定排名第二的成交候选人为成交供应商。排名第二的成交候选人因前款规定的同样原因不能签订合同的，招标采购单位可以确定排名第三的成交候选人为成交供应商，其余以此类推。</w:t>
      </w:r>
    </w:p>
    <w:p>
      <w:pPr>
        <w:spacing w:line="360" w:lineRule="auto"/>
        <w:ind w:firstLine="585" w:firstLineChars="266"/>
        <w:rPr>
          <w:rFonts w:ascii="宋体" w:hAnsi="宋体" w:eastAsia="宋体" w:cs="宋体"/>
          <w:color w:val="000000"/>
          <w:kern w:val="0"/>
          <w:sz w:val="22"/>
          <w:szCs w:val="22"/>
          <w:lang w:bidi="ar"/>
        </w:rPr>
      </w:pPr>
    </w:p>
    <w:p>
      <w:bookmarkStart w:id="1" w:name="_GoBack"/>
      <w:bookmarkEnd w:id="1"/>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4ZDRiYTY2MGZmZTcwZDBkM2Y1YTA1NzY1NTM5ZDIifQ=="/>
  </w:docVars>
  <w:rsids>
    <w:rsidRoot w:val="058823BE"/>
    <w:rsid w:val="05882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2024-05-06T08:14:00Z</dcterms:created>
  <dc:creator>Administrator</dc:creator>
  <cp:lastModifiedBy>Administrator</cp:lastModifiedBy>
  <dcterms:modified xsi:type="dcterms:W3CDTF">2024-05-06T08:15:10Z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8AEE5198D2984EA5AE830849D9E12E57_11</vt:lpwstr>
  </property>
</Properties>
</file>