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5" w:firstLineChars="20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附件二：评标办法及评标标准</w:t>
      </w:r>
    </w:p>
    <w:p>
      <w:pPr>
        <w:spacing w:line="360" w:lineRule="auto"/>
        <w:ind w:firstLine="561" w:firstLineChars="266"/>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一、评标办法</w:t>
      </w:r>
    </w:p>
    <w:p>
      <w:pPr>
        <w:pStyle w:val="2"/>
        <w:spacing w:line="400" w:lineRule="exact"/>
        <w:ind w:firstLine="562" w:firstLineChars="268"/>
        <w:rPr>
          <w:rFonts w:hAnsi="宋体" w:cs="宋体"/>
          <w:b/>
          <w:color w:val="000000" w:themeColor="text1"/>
          <w:sz w:val="21"/>
          <w14:textFill>
            <w14:solidFill>
              <w14:schemeClr w14:val="tx1"/>
            </w14:solidFill>
          </w14:textFill>
        </w:rPr>
      </w:pPr>
      <w:r>
        <w:rPr>
          <w:rFonts w:hint="eastAsia"/>
          <w:color w:val="000000" w:themeColor="text1"/>
          <w:sz w:val="21"/>
          <w:szCs w:val="32"/>
          <w14:textFill>
            <w14:solidFill>
              <w14:schemeClr w14:val="tx1"/>
            </w14:solidFill>
          </w14:textFill>
        </w:rPr>
        <w:t>评审小组对供应商的报价、技术、商务等方面内容按百分制打分。（计分方法按四舍五入取至百分位）</w:t>
      </w:r>
    </w:p>
    <w:p>
      <w:pPr>
        <w:pStyle w:val="2"/>
        <w:spacing w:line="360" w:lineRule="exact"/>
        <w:ind w:firstLine="565" w:firstLineChars="268"/>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二、评分方法</w:t>
      </w:r>
    </w:p>
    <w:p>
      <w:pPr>
        <w:pStyle w:val="2"/>
        <w:spacing w:line="360" w:lineRule="exact"/>
        <w:ind w:firstLine="562" w:firstLineChars="268"/>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（一）对进入详评的，采用百分制综合评分法。</w:t>
      </w:r>
    </w:p>
    <w:p>
      <w:pPr>
        <w:pStyle w:val="2"/>
        <w:spacing w:line="360" w:lineRule="exact"/>
        <w:ind w:firstLine="562" w:firstLineChars="268"/>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（二）计分办法（按四舍五入取至百分位）：</w:t>
      </w:r>
    </w:p>
    <w:p>
      <w:pPr>
        <w:pStyle w:val="2"/>
        <w:spacing w:line="360" w:lineRule="exact"/>
        <w:ind w:firstLine="565" w:firstLineChars="268"/>
        <w:outlineLvl w:val="0"/>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1、价格分</w:t>
      </w:r>
      <w:r>
        <w:rPr>
          <w:rFonts w:hint="eastAsia" w:ascii="仿宋_GB2312" w:hAnsi="宋体"/>
          <w:b/>
          <w:bCs/>
          <w:color w:val="000000" w:themeColor="text1"/>
          <w:sz w:val="21"/>
          <w14:textFill>
            <w14:solidFill>
              <w14:schemeClr w14:val="tx1"/>
            </w14:solidFill>
          </w14:textFill>
        </w:rPr>
        <w:t>…………………………………………………………………………</w:t>
      </w:r>
      <w:r>
        <w:rPr>
          <w:rFonts w:hint="eastAsia"/>
          <w:b/>
          <w:color w:val="000000" w:themeColor="text1"/>
          <w:sz w:val="21"/>
          <w14:textFill>
            <w14:solidFill>
              <w14:schemeClr w14:val="tx1"/>
            </w14:solidFill>
          </w14:textFill>
        </w:rPr>
        <w:t>20分</w:t>
      </w:r>
    </w:p>
    <w:p>
      <w:pPr>
        <w:spacing w:line="360" w:lineRule="exact"/>
        <w:ind w:firstLine="562" w:firstLineChars="268"/>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（1）以满足采购文件要求且最后报价最低的供应商价格为基准价，其价格分为20分。</w:t>
      </w:r>
    </w:p>
    <w:p>
      <w:pPr>
        <w:pStyle w:val="2"/>
        <w:spacing w:line="360" w:lineRule="exact"/>
        <w:ind w:firstLine="562" w:firstLineChars="268"/>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（2）某供应商价格分 =基准价/某供应商评审报价金额×20分。</w:t>
      </w:r>
    </w:p>
    <w:p>
      <w:pPr>
        <w:pStyle w:val="2"/>
        <w:spacing w:line="360" w:lineRule="exact"/>
        <w:ind w:firstLine="565" w:firstLineChars="268"/>
        <w:outlineLvl w:val="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2、技术分</w:t>
      </w:r>
      <w:r>
        <w:rPr>
          <w:rFonts w:hint="eastAsia" w:ascii="仿宋_GB2312" w:hAnsi="宋体"/>
          <w:b/>
          <w:bCs/>
          <w:color w:val="000000" w:themeColor="text1"/>
          <w:sz w:val="21"/>
          <w14:textFill>
            <w14:solidFill>
              <w14:schemeClr w14:val="tx1"/>
            </w14:solidFill>
          </w14:textFill>
        </w:rPr>
        <w:t>…………………………………………………………………………39</w:t>
      </w:r>
      <w:r>
        <w:rPr>
          <w:rFonts w:hint="eastAsia"/>
          <w:b/>
          <w:color w:val="000000" w:themeColor="text1"/>
          <w:sz w:val="21"/>
          <w14:textFill>
            <w14:solidFill>
              <w14:schemeClr w14:val="tx1"/>
            </w14:solidFill>
          </w14:textFill>
        </w:rPr>
        <w:t>分</w:t>
      </w:r>
    </w:p>
    <w:p>
      <w:pPr>
        <w:pStyle w:val="2"/>
        <w:spacing w:line="360" w:lineRule="exact"/>
        <w:ind w:firstLine="562" w:firstLineChars="268"/>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（1）技术性能分（满分9分）</w:t>
      </w:r>
    </w:p>
    <w:p>
      <w:pPr>
        <w:pStyle w:val="2"/>
        <w:spacing w:line="360" w:lineRule="exact"/>
        <w:ind w:firstLine="562" w:firstLineChars="268"/>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技术参数、性能（配置）等各项要求均无负偏离的得9分。每有一项（不带▲号）负偏离的扣3分，直至扣完为止。</w:t>
      </w:r>
    </w:p>
    <w:p>
      <w:pPr>
        <w:pStyle w:val="2"/>
        <w:spacing w:line="360" w:lineRule="exact"/>
        <w:ind w:firstLine="562" w:firstLineChars="268"/>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（2）教材出版方案分（满分18分）</w:t>
      </w:r>
    </w:p>
    <w:p>
      <w:pPr>
        <w:spacing w:line="360" w:lineRule="exact"/>
        <w:ind w:firstLine="562" w:firstLineChars="268"/>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一档（0分）：未提供服务方案或提供的方案与本项目不符；</w:t>
      </w:r>
    </w:p>
    <w:p>
      <w:pPr>
        <w:spacing w:line="360" w:lineRule="exact"/>
        <w:ind w:firstLine="562" w:firstLineChars="268"/>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二档（6分）：出版方案定位简单，教材出版流程、进度控制、出版时间、排版时间、方案进度和工作计划粗略，服务组织机构和人员配备一般，排版等质量相对一般，基本满足实施要求；</w:t>
      </w:r>
    </w:p>
    <w:p>
      <w:pPr>
        <w:spacing w:line="360" w:lineRule="exact"/>
        <w:ind w:firstLine="562" w:firstLineChars="268"/>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三档（12分）：出版方案定位较明确，教材出版流程、进度控制、出版时间、排版时间、方案进度和工作计划合理比较紧凑，服务组织机构和人员配备良好，印刷和版面设计、排版等质量相对良好，良好满足实施要求；</w:t>
      </w:r>
    </w:p>
    <w:p>
      <w:pPr>
        <w:spacing w:line="360" w:lineRule="exact"/>
        <w:ind w:firstLine="562" w:firstLineChars="268"/>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四档（18分）：熟悉项目情况，出版方案定位明确，教材出版流程、进度控制、出版时间、排版时间、方案进度和工作计划合理紧凑，服务组织机构和人员配备优秀，印刷和版面设计、排版等质量相对优秀，契合采购方的要求。</w:t>
      </w:r>
    </w:p>
    <w:p>
      <w:pPr>
        <w:pStyle w:val="2"/>
        <w:spacing w:line="360" w:lineRule="exact"/>
        <w:ind w:firstLine="562" w:firstLineChars="268"/>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（3）投入的人员能力分（满分12分）</w:t>
      </w:r>
    </w:p>
    <w:p>
      <w:pPr>
        <w:pStyle w:val="2"/>
        <w:spacing w:line="360" w:lineRule="exact"/>
        <w:ind w:firstLine="562" w:firstLineChars="268"/>
        <w:jc w:val="left"/>
        <w:outlineLvl w:val="0"/>
        <w:rPr>
          <w:rFonts w:hAnsi="宋体" w:eastAsia="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响应文件中提供投入人员一览表，其中：</w:t>
      </w:r>
    </w:p>
    <w:p>
      <w:pPr>
        <w:pStyle w:val="2"/>
        <w:spacing w:line="360" w:lineRule="exact"/>
        <w:ind w:firstLine="562" w:firstLineChars="268"/>
        <w:jc w:val="left"/>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①供应商具有编审（正高）职称的终审人员，每份得2分，满分4分；</w:t>
      </w:r>
    </w:p>
    <w:p>
      <w:pPr>
        <w:pStyle w:val="2"/>
        <w:spacing w:line="360" w:lineRule="exact"/>
        <w:ind w:firstLine="562" w:firstLineChars="268"/>
        <w:jc w:val="left"/>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②供应商具有副编审（副高）职称的复审人员，每份得1.5分，满分3 分；</w:t>
      </w:r>
    </w:p>
    <w:p>
      <w:pPr>
        <w:pStyle w:val="2"/>
        <w:spacing w:line="360" w:lineRule="exact"/>
        <w:ind w:firstLine="562" w:firstLineChars="268"/>
        <w:jc w:val="left"/>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③供应商具有编辑、出版相关的中级职称的人员，每份得1分，满分3分；。</w:t>
      </w:r>
    </w:p>
    <w:p>
      <w:pPr>
        <w:pStyle w:val="2"/>
        <w:spacing w:line="360" w:lineRule="exact"/>
        <w:ind w:firstLine="562" w:firstLineChars="268"/>
        <w:jc w:val="left"/>
        <w:outlineLvl w:val="0"/>
        <w:rPr>
          <w:rFonts w:hAnsi="宋体" w:cs="宋体"/>
          <w:bCs/>
          <w:color w:val="000000" w:themeColor="text1"/>
          <w:sz w:val="21"/>
          <w14:textFill>
            <w14:solidFill>
              <w14:schemeClr w14:val="tx1"/>
            </w14:solidFill>
          </w14:textFill>
        </w:rPr>
      </w:pPr>
      <w:r>
        <w:rPr>
          <w:rFonts w:hint="eastAsia" w:hAnsi="宋体" w:cs="宋体"/>
          <w:bCs/>
          <w:color w:val="000000" w:themeColor="text1"/>
          <w:sz w:val="21"/>
          <w14:textFill>
            <w14:solidFill>
              <w14:schemeClr w14:val="tx1"/>
            </w14:solidFill>
          </w14:textFill>
        </w:rPr>
        <w:t>注：上述人员须提供身份证复印件、职称（资格）证书复印件复印件，加盖供应商单位公章，否则不予认可）。</w:t>
      </w:r>
    </w:p>
    <w:p>
      <w:pPr>
        <w:spacing w:line="360" w:lineRule="exact"/>
        <w:ind w:firstLine="562" w:firstLineChars="268"/>
        <w:rPr>
          <w:rFonts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④供应商编辑人员参加省级、国家级编校技能大赛，获得国家级三等奖或以上的，每人次得2分；获得省级三等奖或以上的，每人次得1分；满分2分（需提供获奖证明材料复印件，并加盖</w:t>
      </w:r>
      <w:r>
        <w:rPr>
          <w:rFonts w:hint="eastAsia" w:hAnsi="宋体" w:cs="宋体"/>
          <w:bCs/>
          <w:color w:val="000000" w:themeColor="text1"/>
          <w14:textFill>
            <w14:solidFill>
              <w14:schemeClr w14:val="tx1"/>
            </w14:solidFill>
          </w14:textFill>
        </w:rPr>
        <w:t>供应商单位</w:t>
      </w:r>
      <w:r>
        <w:rPr>
          <w:rFonts w:hint="eastAsia" w:ascii="宋体" w:hAnsi="宋体" w:eastAsia="宋体" w:cs="宋体"/>
          <w:bCs/>
          <w:color w:val="000000" w:themeColor="text1"/>
          <w:kern w:val="0"/>
          <w:szCs w:val="21"/>
          <w14:textFill>
            <w14:solidFill>
              <w14:schemeClr w14:val="tx1"/>
            </w14:solidFill>
          </w14:textFill>
        </w:rPr>
        <w:t>公章）。</w:t>
      </w:r>
    </w:p>
    <w:p>
      <w:pPr>
        <w:pStyle w:val="2"/>
        <w:spacing w:line="360" w:lineRule="exact"/>
        <w:ind w:firstLine="565" w:firstLineChars="268"/>
        <w:outlineLvl w:val="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3、售后服务方案分</w:t>
      </w:r>
      <w:r>
        <w:rPr>
          <w:rFonts w:hint="eastAsia" w:hAnsi="宋体" w:cs="宋体"/>
          <w:b/>
          <w:bCs/>
          <w:color w:val="000000" w:themeColor="text1"/>
          <w:sz w:val="21"/>
          <w14:textFill>
            <w14:solidFill>
              <w14:schemeClr w14:val="tx1"/>
            </w14:solidFill>
          </w14:textFill>
        </w:rPr>
        <w:t>……………………………</w:t>
      </w:r>
      <w:r>
        <w:rPr>
          <w:rFonts w:hint="eastAsia" w:ascii="仿宋_GB2312" w:hAnsi="宋体"/>
          <w:b/>
          <w:bCs/>
          <w:color w:val="000000" w:themeColor="text1"/>
          <w:sz w:val="21"/>
          <w14:textFill>
            <w14:solidFill>
              <w14:schemeClr w14:val="tx1"/>
            </w14:solidFill>
          </w14:textFill>
        </w:rPr>
        <w:t>…</w:t>
      </w:r>
      <w:r>
        <w:rPr>
          <w:rFonts w:hint="eastAsia" w:hAnsi="宋体" w:cs="宋体"/>
          <w:b/>
          <w:bCs/>
          <w:color w:val="000000" w:themeColor="text1"/>
          <w:sz w:val="21"/>
          <w14:textFill>
            <w14:solidFill>
              <w14:schemeClr w14:val="tx1"/>
            </w14:solidFill>
          </w14:textFill>
        </w:rPr>
        <w:t>………</w:t>
      </w:r>
      <w:r>
        <w:rPr>
          <w:rFonts w:hint="eastAsia" w:ascii="仿宋_GB2312" w:hAnsi="宋体"/>
          <w:b/>
          <w:bCs/>
          <w:color w:val="000000" w:themeColor="text1"/>
          <w:sz w:val="21"/>
          <w14:textFill>
            <w14:solidFill>
              <w14:schemeClr w14:val="tx1"/>
            </w14:solidFill>
          </w14:textFill>
        </w:rPr>
        <w:t>…</w:t>
      </w:r>
      <w:r>
        <w:rPr>
          <w:rFonts w:hint="eastAsia" w:hAnsi="宋体" w:cs="宋体"/>
          <w:b/>
          <w:bCs/>
          <w:color w:val="000000" w:themeColor="text1"/>
          <w:sz w:val="21"/>
          <w14:textFill>
            <w14:solidFill>
              <w14:schemeClr w14:val="tx1"/>
            </w14:solidFill>
          </w14:textFill>
        </w:rPr>
        <w:t>…………………</w:t>
      </w:r>
      <w:r>
        <w:rPr>
          <w:rFonts w:hint="eastAsia" w:hAnsi="宋体" w:cs="宋体"/>
          <w:b/>
          <w:color w:val="000000" w:themeColor="text1"/>
          <w:sz w:val="21"/>
          <w14:textFill>
            <w14:solidFill>
              <w14:schemeClr w14:val="tx1"/>
            </w14:solidFill>
          </w14:textFill>
        </w:rPr>
        <w:t>16分</w:t>
      </w:r>
      <w:r>
        <w:rPr>
          <w:rFonts w:hint="eastAsia" w:hAnsi="宋体" w:cs="宋体"/>
          <w:color w:val="000000" w:themeColor="text1"/>
          <w:sz w:val="21"/>
          <w14:textFill>
            <w14:solidFill>
              <w14:schemeClr w14:val="tx1"/>
            </w14:solidFill>
          </w14:textFill>
        </w:rPr>
        <w:t xml:space="preserve">                      </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一档（0分）：未提供售后服务方案或提供的方案与本项目不符；</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档（5分）：供应商售后服务方案简单，方案内容包含有对质保期内、外出版物质量保证相关措施的描述，内容没有明显疏漏，方案中提供距离采购人最近的服务机构或网点地址及相关售后服务人员名单、联系方式，方案总体符合采购文件要求；</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三档（10 分）：供应商售后服务方案较详细，方案内容包含有对质保期内、外出版物质量保证相关措施的具体描述，措施可行、渠道合理，方案中提供距离采购人最近的服务机构或网点地址及相关售后服务人员名单、联系方式，方案总体符合采购文件要求；</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四档（16分）: 供应商售后服务方案全面、详细，方案内容包含有对质保期内、外出版物质量保证相关措施的具体描述，描述清楚、可行，措施到位、有针对性，资源配置合理，方案中还应提供距离采购人最近的服务机构或网点地址及相关售后服务人员名单、联系方式，退换便利，方案总体符合或优于采购文件要求。</w:t>
      </w:r>
    </w:p>
    <w:p>
      <w:pPr>
        <w:pStyle w:val="2"/>
        <w:spacing w:line="360" w:lineRule="exact"/>
        <w:ind w:firstLine="565" w:firstLineChars="268"/>
        <w:outlineLvl w:val="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4、业绩分</w:t>
      </w:r>
      <w:r>
        <w:rPr>
          <w:rFonts w:hint="eastAsia" w:hAnsi="宋体" w:cs="宋体"/>
          <w:b/>
          <w:bCs/>
          <w:color w:val="000000" w:themeColor="text1"/>
          <w:sz w:val="21"/>
          <w14:textFill>
            <w14:solidFill>
              <w14:schemeClr w14:val="tx1"/>
            </w14:solidFill>
          </w14:textFill>
        </w:rPr>
        <w:t>………………………………………………………………………</w:t>
      </w:r>
      <w:r>
        <w:rPr>
          <w:rFonts w:hint="eastAsia" w:hAnsi="宋体" w:cs="宋体"/>
          <w:b/>
          <w:color w:val="000000" w:themeColor="text1"/>
          <w:sz w:val="21"/>
          <w14:textFill>
            <w14:solidFill>
              <w14:schemeClr w14:val="tx1"/>
            </w14:solidFill>
          </w14:textFill>
        </w:rPr>
        <w:t>10分</w:t>
      </w:r>
    </w:p>
    <w:p>
      <w:pPr>
        <w:pStyle w:val="2"/>
        <w:spacing w:line="360" w:lineRule="exact"/>
        <w:ind w:firstLine="562" w:firstLineChars="268"/>
        <w:outlineLvl w:val="0"/>
        <w:rPr>
          <w:rFonts w:hAnsi="宋体" w:cs="宋体"/>
          <w:color w:val="000000" w:themeColor="text1"/>
          <w:kern w:val="2"/>
          <w:sz w:val="21"/>
          <w14:textFill>
            <w14:solidFill>
              <w14:schemeClr w14:val="tx1"/>
            </w14:solidFill>
          </w14:textFill>
        </w:rPr>
      </w:pPr>
      <w:r>
        <w:rPr>
          <w:rFonts w:hint="eastAsia" w:hAnsi="宋体" w:cs="宋体"/>
          <w:color w:val="000000" w:themeColor="text1"/>
          <w:kern w:val="2"/>
          <w:sz w:val="21"/>
          <w14:textFill>
            <w14:solidFill>
              <w14:schemeClr w14:val="tx1"/>
            </w14:solidFill>
          </w14:textFill>
        </w:rPr>
        <w:t>供应商自2020年1月1日以来的同类项目成功案例（提供同类项目的中标通知书或合同复印件，并加盖单位公章），每项得2分，满分10分。</w:t>
      </w:r>
    </w:p>
    <w:p>
      <w:pPr>
        <w:pStyle w:val="2"/>
        <w:spacing w:line="360" w:lineRule="exact"/>
        <w:ind w:firstLine="565" w:firstLineChars="268"/>
        <w:outlineLvl w:val="0"/>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5、信誉分</w:t>
      </w:r>
      <w:r>
        <w:rPr>
          <w:rFonts w:hint="eastAsia" w:hAnsi="宋体" w:cs="宋体"/>
          <w:b/>
          <w:bCs/>
          <w:color w:val="000000" w:themeColor="text1"/>
          <w:sz w:val="21"/>
          <w14:textFill>
            <w14:solidFill>
              <w14:schemeClr w14:val="tx1"/>
            </w14:solidFill>
          </w14:textFill>
        </w:rPr>
        <w:t>………………………………………………………………………</w:t>
      </w:r>
      <w:r>
        <w:rPr>
          <w:rFonts w:hint="eastAsia" w:hAnsi="宋体" w:cs="宋体"/>
          <w:b/>
          <w:color w:val="000000" w:themeColor="text1"/>
          <w:sz w:val="21"/>
          <w14:textFill>
            <w14:solidFill>
              <w14:schemeClr w14:val="tx1"/>
            </w14:solidFill>
          </w14:textFill>
        </w:rPr>
        <w:t>15分</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（1）供应商出版的教材获得首届全国教材建设奖项，特等奖加3分，一等奖加2分，二等奖加1分，满分6分；</w:t>
      </w:r>
    </w:p>
    <w:p>
      <w:pPr>
        <w:spacing w:line="360" w:lineRule="exact"/>
        <w:ind w:firstLine="565" w:firstLineChars="268"/>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注：供应商须提供获奖证书复印件或国家公示文件（含文件批号）复印件，否则不予认可。</w:t>
      </w:r>
    </w:p>
    <w:p>
      <w:pPr>
        <w:spacing w:line="360" w:lineRule="exact"/>
        <w:ind w:firstLine="562" w:firstLineChars="26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（2）供应商获得国家级“十四五”规划教材（职业教材）立项</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0种以下得1分，</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 xml:space="preserve">0种得3分， </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1种以上得6分，满分6分。</w:t>
      </w:r>
    </w:p>
    <w:p>
      <w:pPr>
        <w:spacing w:line="360" w:lineRule="exact"/>
        <w:ind w:firstLine="565" w:firstLineChars="268"/>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注：供应商须提国家公示文件（含文件批号）复印件，否则不予认可。</w:t>
      </w:r>
    </w:p>
    <w:p>
      <w:pPr>
        <w:pStyle w:val="2"/>
        <w:spacing w:line="400" w:lineRule="exact"/>
        <w:ind w:firstLine="562" w:firstLineChars="268"/>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3）供应商2019年以来主持或策划的出版项目获得国家级奖项（中国出版政府奖、中华优秀出版物奖、“五个一”工程奖）或者获得国家资金扶持（入选“十三五”国家重点规划出版项目、国家出版基金项目、国家古籍整理出版项目、国家社科基金项目），每有1项得1分，满分3分。</w:t>
      </w:r>
    </w:p>
    <w:p>
      <w:pPr>
        <w:pStyle w:val="5"/>
        <w:spacing w:before="0" w:after="0" w:line="360" w:lineRule="exact"/>
        <w:ind w:firstLine="565" w:firstLineChars="268"/>
        <w:jc w:val="left"/>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注：供应商提供证书或其他证明材料复印件，否则不予认可。</w:t>
      </w:r>
    </w:p>
    <w:p>
      <w:pPr>
        <w:pStyle w:val="2"/>
        <w:tabs>
          <w:tab w:val="left" w:pos="900"/>
        </w:tabs>
        <w:spacing w:line="360" w:lineRule="exact"/>
        <w:ind w:firstLine="565" w:firstLineChars="268"/>
        <w:jc w:val="left"/>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总得分 = 1 + 2 + 3 + 4 + 5</w:t>
      </w:r>
    </w:p>
    <w:p>
      <w:pPr>
        <w:pStyle w:val="2"/>
        <w:spacing w:line="360" w:lineRule="exact"/>
        <w:ind w:firstLine="565" w:firstLineChars="268"/>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三、成交候选人推荐原则</w:t>
      </w:r>
    </w:p>
    <w:p>
      <w:pPr>
        <w:pStyle w:val="2"/>
        <w:spacing w:line="360" w:lineRule="exact"/>
        <w:ind w:firstLine="562" w:firstLineChars="268"/>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本项目评审小组将按照得分由高到低顺序排列推荐成交候选供应商。得分相同的，按响应报价由低到高顺序排序，最后报价相同的，按实施方案优劣顺序排列。根据评审小组推荐的成交候选人，由采购单位按顺序根据有关规定书面确定成交供应商。排名第一的成交候选人为第一成交供应商，排名第一的成交候选人放弃成交、因不可抗力提出不能履行合同，或者采购文件规定应当提交质量保证金而在规定的期限内未能提交的，采购单位可以确定排名第二的成交候选人为成交供应商。排名第二的成交候选人因前款规定的同样原因不能签订合同的，招标采购单位可以确定排名第三的成交候选人为成交供应商，其余以此类推。</w:t>
      </w:r>
    </w:p>
    <w:p>
      <w:pPr>
        <w:spacing w:line="360" w:lineRule="auto"/>
        <w:ind w:firstLine="638" w:firstLineChars="266"/>
        <w:rPr>
          <w:color w:val="000000" w:themeColor="text1"/>
          <w:sz w:val="24"/>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ZDk0ZTZjOTExMzk1YjgzOWQ2MDg3OTI2MDIxNjAifQ=="/>
  </w:docVars>
  <w:rsids>
    <w:rsidRoot w:val="288273E6"/>
    <w:rsid w:val="2882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customStyle="1" w:styleId="5">
    <w:name w:val="Heading4"/>
    <w:basedOn w:val="1"/>
    <w:next w:val="1"/>
    <w:qFormat/>
    <w:uiPriority w:val="0"/>
    <w:pPr>
      <w:widowControl/>
      <w:spacing w:before="120" w:after="120" w:line="360" w:lineRule="auto"/>
      <w:ind w:firstLine="3584"/>
      <w:jc w:val="center"/>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2023-10-20T11:58:00Z</dcterms:created>
  <dc:creator>Administrator</dc:creator>
  <cp:lastModifiedBy>Administrator</cp:lastModifiedBy>
  <dcterms:modified xsi:type="dcterms:W3CDTF">2023-10-20T11:59:58Z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CEFFBC2F7A8F4EB7A70D3E9CB13ECA82_11</vt:lpwstr>
  </property>
</Properties>
</file>