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color w:val="000000"/>
          <w:kern w:val="0"/>
          <w:sz w:val="28"/>
          <w:szCs w:val="28"/>
          <w:lang w:bidi="ar"/>
        </w:rPr>
      </w:pPr>
      <w:bookmarkStart w:id="1" w:name="_GoBack"/>
      <w:r>
        <w:rPr>
          <w:rFonts w:hint="eastAsia" w:ascii="宋体" w:hAnsi="宋体" w:eastAsia="宋体" w:cs="宋体"/>
          <w:b/>
          <w:bCs/>
          <w:color w:val="000000"/>
          <w:kern w:val="0"/>
          <w:sz w:val="28"/>
          <w:szCs w:val="28"/>
          <w:lang w:bidi="ar"/>
        </w:rPr>
        <w:t>附件二</w:t>
      </w:r>
      <w:bookmarkStart w:id="0" w:name="_Toc49873391"/>
      <w:r>
        <w:rPr>
          <w:rFonts w:hint="eastAsia" w:ascii="宋体" w:hAnsi="宋体" w:eastAsia="宋体" w:cs="宋体"/>
          <w:b/>
          <w:bCs/>
          <w:color w:val="000000"/>
          <w:kern w:val="0"/>
          <w:sz w:val="28"/>
          <w:szCs w:val="28"/>
          <w:lang w:bidi="ar"/>
        </w:rPr>
        <w:t>：评标</w:t>
      </w:r>
      <w:bookmarkEnd w:id="0"/>
      <w:r>
        <w:rPr>
          <w:rFonts w:hint="eastAsia" w:ascii="宋体" w:hAnsi="宋体" w:eastAsia="宋体" w:cs="宋体"/>
          <w:b/>
          <w:bCs/>
          <w:color w:val="000000"/>
          <w:kern w:val="0"/>
          <w:sz w:val="28"/>
          <w:szCs w:val="28"/>
          <w:lang w:bidi="ar"/>
        </w:rPr>
        <w:t>标准</w:t>
      </w:r>
    </w:p>
    <w:bookmarkEnd w:id="1"/>
    <w:tbl>
      <w:tblPr>
        <w:tblStyle w:val="2"/>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953"/>
        <w:gridCol w:w="720"/>
        <w:gridCol w:w="6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859" w:type="dxa"/>
            <w:gridSpan w:val="2"/>
            <w:vAlign w:val="center"/>
          </w:tcPr>
          <w:p>
            <w:pPr>
              <w:adjustRightInd w:val="0"/>
              <w:spacing w:line="400" w:lineRule="exact"/>
              <w:jc w:val="center"/>
              <w:textAlignment w:val="baseline"/>
              <w:rPr>
                <w:rFonts w:ascii="宋体" w:hAnsi="宋体" w:eastAsia="宋体" w:cs="宋体"/>
                <w:b/>
                <w:bCs/>
                <w:sz w:val="24"/>
                <w:szCs w:val="24"/>
              </w:rPr>
            </w:pPr>
            <w:r>
              <w:rPr>
                <w:rFonts w:hint="eastAsia" w:ascii="宋体" w:hAnsi="宋体" w:eastAsia="宋体" w:cs="宋体"/>
                <w:b/>
                <w:bCs/>
                <w:sz w:val="24"/>
                <w:szCs w:val="24"/>
              </w:rPr>
              <w:t>评价因素</w:t>
            </w:r>
          </w:p>
        </w:tc>
        <w:tc>
          <w:tcPr>
            <w:tcW w:w="720" w:type="dxa"/>
            <w:vAlign w:val="center"/>
          </w:tcPr>
          <w:p>
            <w:pPr>
              <w:adjustRightInd w:val="0"/>
              <w:spacing w:line="400" w:lineRule="exact"/>
              <w:jc w:val="center"/>
              <w:textAlignment w:val="baseline"/>
              <w:rPr>
                <w:rFonts w:ascii="宋体" w:hAnsi="宋体" w:eastAsia="宋体" w:cs="宋体"/>
                <w:b/>
                <w:bCs/>
                <w:sz w:val="24"/>
                <w:szCs w:val="24"/>
              </w:rPr>
            </w:pPr>
            <w:r>
              <w:rPr>
                <w:rFonts w:hint="eastAsia" w:ascii="宋体" w:hAnsi="宋体" w:eastAsia="宋体" w:cs="宋体"/>
                <w:b/>
                <w:bCs/>
                <w:sz w:val="24"/>
                <w:szCs w:val="24"/>
              </w:rPr>
              <w:t>分值</w:t>
            </w:r>
          </w:p>
        </w:tc>
        <w:tc>
          <w:tcPr>
            <w:tcW w:w="6203" w:type="dxa"/>
            <w:vAlign w:val="center"/>
          </w:tcPr>
          <w:p>
            <w:pPr>
              <w:adjustRightInd w:val="0"/>
              <w:spacing w:line="400" w:lineRule="exact"/>
              <w:jc w:val="center"/>
              <w:textAlignment w:val="baseline"/>
              <w:rPr>
                <w:rFonts w:ascii="宋体" w:hAnsi="宋体" w:eastAsia="宋体" w:cs="宋体"/>
                <w:b/>
                <w:bCs/>
                <w:sz w:val="24"/>
                <w:szCs w:val="24"/>
              </w:rPr>
            </w:pPr>
            <w:r>
              <w:rPr>
                <w:rFonts w:hint="eastAsia" w:ascii="宋体" w:hAnsi="宋体" w:eastAsia="宋体" w:cs="宋体"/>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06" w:type="dxa"/>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价格</w:t>
            </w:r>
          </w:p>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部分</w:t>
            </w:r>
          </w:p>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20分</w:t>
            </w:r>
          </w:p>
        </w:tc>
        <w:tc>
          <w:tcPr>
            <w:tcW w:w="1953" w:type="dxa"/>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商务报价</w:t>
            </w:r>
          </w:p>
        </w:tc>
        <w:tc>
          <w:tcPr>
            <w:tcW w:w="720" w:type="dxa"/>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20</w:t>
            </w:r>
          </w:p>
        </w:tc>
        <w:tc>
          <w:tcPr>
            <w:tcW w:w="6203" w:type="dxa"/>
            <w:vAlign w:val="center"/>
          </w:tcPr>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lang w:val="zh-CN"/>
              </w:rPr>
              <w:t>以本次投标报价平均值为基准价，各投标人报价以评标基准价为最优得分，每高于基准价2％扣1分，每低于基准价2％扣0.5分；不足2％部分按内插法计算，小数点后保留两位小数。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06" w:type="dxa"/>
            <w:vMerge w:val="restart"/>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技术</w:t>
            </w:r>
          </w:p>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部分</w:t>
            </w:r>
          </w:p>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53分</w:t>
            </w:r>
          </w:p>
        </w:tc>
        <w:tc>
          <w:tcPr>
            <w:tcW w:w="1953" w:type="dxa"/>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项目实施方案</w:t>
            </w:r>
          </w:p>
        </w:tc>
        <w:tc>
          <w:tcPr>
            <w:tcW w:w="720" w:type="dxa"/>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18</w:t>
            </w:r>
          </w:p>
        </w:tc>
        <w:tc>
          <w:tcPr>
            <w:tcW w:w="6203" w:type="dxa"/>
            <w:tcBorders>
              <w:bottom w:val="single" w:color="auto" w:sz="4" w:space="0"/>
            </w:tcBorders>
            <w:vAlign w:val="center"/>
          </w:tcPr>
          <w:p>
            <w:pPr>
              <w:spacing w:line="400" w:lineRule="exact"/>
              <w:ind w:firstLine="480" w:firstLineChars="200"/>
              <w:textAlignment w:val="baseline"/>
              <w:rPr>
                <w:rFonts w:ascii="宋体" w:hAnsi="宋体" w:eastAsia="宋体" w:cs="宋体"/>
                <w:bCs/>
                <w:sz w:val="24"/>
                <w:szCs w:val="24"/>
              </w:rPr>
            </w:pPr>
            <w:r>
              <w:rPr>
                <w:rFonts w:hint="eastAsia" w:ascii="宋体" w:hAnsi="宋体" w:eastAsia="宋体" w:cs="宋体"/>
                <w:bCs/>
                <w:sz w:val="24"/>
                <w:szCs w:val="24"/>
              </w:rPr>
              <w:t>根据对整体项目的理解程度情况，实施方案、系统架构组建方案、后期运营方案以及系统设备功能扩展应用方案，人员配备、分工、实施准备、进度安排、质量控制、检测及验收、项目移交等方面描述：</w:t>
            </w:r>
          </w:p>
          <w:p>
            <w:pPr>
              <w:spacing w:line="400" w:lineRule="exact"/>
              <w:ind w:firstLine="480" w:firstLineChars="200"/>
              <w:textAlignment w:val="baseline"/>
              <w:rPr>
                <w:rFonts w:ascii="宋体" w:hAnsi="宋体" w:eastAsia="宋体" w:cs="宋体"/>
                <w:bCs/>
                <w:sz w:val="24"/>
                <w:szCs w:val="24"/>
              </w:rPr>
            </w:pPr>
            <w:r>
              <w:rPr>
                <w:rFonts w:hint="eastAsia" w:ascii="宋体" w:hAnsi="宋体" w:eastAsia="宋体" w:cs="宋体"/>
                <w:bCs/>
                <w:sz w:val="24"/>
                <w:szCs w:val="24"/>
              </w:rPr>
              <w:t>一档（4分）：供应商对本项目的理解、项目实施计划、技术人员安排表述一般，能提供较完整的实施方案，没有明显的技术错误，技术及实施方案较简单，方案描述不够清晰，描述不够具体，无法说明其可行性，列入第一档。</w:t>
            </w:r>
          </w:p>
          <w:p>
            <w:pPr>
              <w:spacing w:line="400" w:lineRule="exact"/>
              <w:ind w:firstLine="480" w:firstLineChars="200"/>
              <w:textAlignment w:val="baseline"/>
              <w:rPr>
                <w:rFonts w:ascii="宋体" w:hAnsi="宋体" w:eastAsia="宋体" w:cs="宋体"/>
                <w:bCs/>
                <w:sz w:val="24"/>
                <w:szCs w:val="24"/>
              </w:rPr>
            </w:pPr>
            <w:r>
              <w:rPr>
                <w:rFonts w:hint="eastAsia" w:ascii="宋体" w:hAnsi="宋体" w:eastAsia="宋体" w:cs="宋体"/>
                <w:bCs/>
                <w:sz w:val="24"/>
                <w:szCs w:val="24"/>
              </w:rPr>
              <w:t>二档（9分）：供应商对本项目的理解、项目实施计划、技术人员表安排表述清晰、完整、严谨、合理，能够提供较完整的实施方案，阐述清楚产品的功能，功能描述相对具体，基本符合项目的需要，论证基本准确列入第二档。</w:t>
            </w:r>
          </w:p>
          <w:p>
            <w:pPr>
              <w:spacing w:line="400" w:lineRule="exact"/>
              <w:ind w:firstLine="480" w:firstLineChars="200"/>
              <w:textAlignment w:val="baseline"/>
              <w:rPr>
                <w:rFonts w:ascii="宋体" w:hAnsi="宋体" w:eastAsia="宋体" w:cs="宋体"/>
                <w:sz w:val="24"/>
                <w:szCs w:val="24"/>
              </w:rPr>
            </w:pPr>
            <w:r>
              <w:rPr>
                <w:rFonts w:hint="eastAsia" w:ascii="宋体" w:hAnsi="宋体" w:eastAsia="宋体" w:cs="宋体"/>
                <w:bCs/>
                <w:sz w:val="24"/>
                <w:szCs w:val="24"/>
              </w:rPr>
              <w:t>三档（18分）：供应商对本项目的理解、项目实施计划、技术人员表安排表述清晰、完整、严谨、合理，能够完整提供完整可行的实施方案，方案完全符合项目要求，且方案完整全面，阐述清楚各产品的功能，各个产品功能描述具体详细，完全满足项目需要；能够完全满足采购文件中的功能要求、性能要求和实施要求；在此基础上充分了解采购方的实际情况和需求，针对项目核心风险点进行分析，并提出具有针对性的合理化建议及切实可行的解决方案和应对措施，服务响应措施；对采购人实际情况和未来发展有针对性的设计及合理化建议，列入第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06" w:type="dxa"/>
            <w:vMerge w:val="continue"/>
            <w:vAlign w:val="center"/>
          </w:tcPr>
          <w:p>
            <w:pPr>
              <w:adjustRightInd w:val="0"/>
              <w:spacing w:line="400" w:lineRule="exact"/>
              <w:jc w:val="center"/>
              <w:textAlignment w:val="baseline"/>
              <w:rPr>
                <w:rFonts w:ascii="宋体" w:hAnsi="宋体" w:eastAsia="宋体" w:cs="宋体"/>
                <w:sz w:val="24"/>
                <w:szCs w:val="24"/>
              </w:rPr>
            </w:pPr>
          </w:p>
        </w:tc>
        <w:tc>
          <w:tcPr>
            <w:tcW w:w="1953" w:type="dxa"/>
            <w:vAlign w:val="center"/>
          </w:tcPr>
          <w:p>
            <w:pPr>
              <w:adjustRightInd w:val="0"/>
              <w:spacing w:line="400" w:lineRule="exact"/>
              <w:textAlignment w:val="baseline"/>
              <w:rPr>
                <w:rFonts w:ascii="宋体" w:hAnsi="宋体" w:eastAsia="宋体" w:cs="宋体"/>
                <w:sz w:val="24"/>
                <w:szCs w:val="24"/>
              </w:rPr>
            </w:pPr>
            <w:r>
              <w:rPr>
                <w:rFonts w:hint="eastAsia" w:ascii="宋体" w:hAnsi="宋体" w:eastAsia="宋体" w:cs="宋体"/>
                <w:sz w:val="24"/>
                <w:szCs w:val="24"/>
              </w:rPr>
              <w:t>在产品的技术参数中，对标 (▲号)条款的响应程度进行评审</w:t>
            </w:r>
          </w:p>
        </w:tc>
        <w:tc>
          <w:tcPr>
            <w:tcW w:w="720" w:type="dxa"/>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10</w:t>
            </w:r>
          </w:p>
        </w:tc>
        <w:tc>
          <w:tcPr>
            <w:tcW w:w="6203" w:type="dxa"/>
            <w:vAlign w:val="center"/>
          </w:tcPr>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横向对比有效投标人所投产品带和“▲”条款的技术规格、参数指标，结合投标人产品材料的提供情况进行评比。</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每负偏离“▲”条款的，每个扣2分，扣完为止。</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非“▲”条款每个不满足者扣1分，扣完为止。</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提供虚假参数及证明文件者，取消投标资格，中标后取消中标资格。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906" w:type="dxa"/>
            <w:vMerge w:val="continue"/>
            <w:vAlign w:val="center"/>
          </w:tcPr>
          <w:p>
            <w:pPr>
              <w:adjustRightInd w:val="0"/>
              <w:spacing w:line="400" w:lineRule="exact"/>
              <w:jc w:val="center"/>
              <w:textAlignment w:val="baseline"/>
              <w:rPr>
                <w:rFonts w:ascii="宋体" w:hAnsi="宋体" w:eastAsia="宋体" w:cs="宋体"/>
                <w:sz w:val="24"/>
                <w:szCs w:val="24"/>
              </w:rPr>
            </w:pPr>
          </w:p>
        </w:tc>
        <w:tc>
          <w:tcPr>
            <w:tcW w:w="1953" w:type="dxa"/>
            <w:vAlign w:val="center"/>
          </w:tcPr>
          <w:p>
            <w:pPr>
              <w:adjustRightInd w:val="0"/>
              <w:spacing w:line="400" w:lineRule="exact"/>
              <w:textAlignment w:val="baseline"/>
              <w:rPr>
                <w:rFonts w:ascii="宋体" w:hAnsi="宋体" w:eastAsia="宋体" w:cs="宋体"/>
                <w:sz w:val="24"/>
                <w:szCs w:val="24"/>
              </w:rPr>
            </w:pPr>
            <w:r>
              <w:rPr>
                <w:rFonts w:hint="eastAsia" w:ascii="宋体" w:hAnsi="宋体" w:eastAsia="宋体" w:cs="宋体"/>
                <w:sz w:val="24"/>
                <w:szCs w:val="24"/>
              </w:rPr>
              <w:t>系统演示</w:t>
            </w:r>
          </w:p>
          <w:p>
            <w:pPr>
              <w:adjustRightInd w:val="0"/>
              <w:spacing w:line="400" w:lineRule="exact"/>
              <w:textAlignment w:val="baseline"/>
              <w:rPr>
                <w:rFonts w:ascii="宋体" w:hAnsi="宋体" w:eastAsia="宋体" w:cs="宋体"/>
                <w:sz w:val="24"/>
                <w:szCs w:val="24"/>
              </w:rPr>
            </w:pPr>
            <w:r>
              <w:rPr>
                <w:rFonts w:hint="eastAsia" w:ascii="宋体" w:hAnsi="宋体" w:eastAsia="宋体" w:cs="宋体"/>
                <w:sz w:val="24"/>
                <w:szCs w:val="24"/>
              </w:rPr>
              <w:t>（投标人须真实产品进行演示，具体演示内容见各项评审因素要求；演示时间：不得超过20分钟。）</w:t>
            </w:r>
          </w:p>
          <w:p>
            <w:pPr>
              <w:adjustRightInd w:val="0"/>
              <w:spacing w:line="400" w:lineRule="exact"/>
              <w:textAlignment w:val="baseline"/>
              <w:rPr>
                <w:rFonts w:ascii="宋体" w:hAnsi="宋体" w:eastAsia="宋体" w:cs="宋体"/>
                <w:sz w:val="24"/>
                <w:szCs w:val="24"/>
              </w:rPr>
            </w:pPr>
            <w:r>
              <w:rPr>
                <w:rFonts w:hint="eastAsia" w:ascii="宋体" w:hAnsi="宋体" w:eastAsia="宋体" w:cs="宋体"/>
                <w:sz w:val="24"/>
                <w:szCs w:val="24"/>
              </w:rPr>
              <w:t>【注：因不是现场开标投标人需进行演示视频录制好装U盘中与报价文件装一个文件袋中。】</w:t>
            </w:r>
          </w:p>
        </w:tc>
        <w:tc>
          <w:tcPr>
            <w:tcW w:w="720" w:type="dxa"/>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25</w:t>
            </w:r>
          </w:p>
        </w:tc>
        <w:tc>
          <w:tcPr>
            <w:tcW w:w="6203" w:type="dxa"/>
            <w:vAlign w:val="center"/>
          </w:tcPr>
          <w:p>
            <w:pPr>
              <w:adjustRightInd w:val="0"/>
              <w:spacing w:line="400" w:lineRule="exact"/>
              <w:ind w:firstLine="420" w:firstLineChars="175"/>
              <w:textAlignment w:val="baseline"/>
              <w:rPr>
                <w:rFonts w:ascii="宋体" w:hAnsi="宋体" w:eastAsia="宋体" w:cs="宋体"/>
                <w:bCs/>
                <w:sz w:val="24"/>
                <w:szCs w:val="24"/>
                <w:lang w:val="zh-CN"/>
              </w:rPr>
            </w:pPr>
            <w:r>
              <w:rPr>
                <w:rFonts w:hint="eastAsia" w:ascii="宋体" w:hAnsi="宋体" w:eastAsia="宋体" w:cs="宋体"/>
                <w:sz w:val="24"/>
                <w:szCs w:val="24"/>
                <w:lang w:val="zh-CN"/>
              </w:rPr>
              <w:t>演示必须是现场操作演示，不接受视频动画、PPT、图像、图片的演示</w:t>
            </w:r>
            <w:r>
              <w:rPr>
                <w:rFonts w:hint="eastAsia" w:ascii="宋体" w:hAnsi="宋体" w:eastAsia="宋体" w:cs="宋体"/>
                <w:bCs/>
                <w:sz w:val="24"/>
                <w:szCs w:val="24"/>
                <w:lang w:val="zh-CN"/>
              </w:rPr>
              <w:t>。</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 xml:space="preserve">1、资源建设：教师在教学资源库建设时可以从平台内置资源中添加电子图书和学术视频，并可以直接进行在线阅读；教师也可以添加平台中的共享资源到教学资源库中。（2分） </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2、教师在建课时支持视频中任意时间点插入测验：上传视频后，可以在任意时间点插入测试题，包含单选题、多选题和对错题。（2分）</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3、教师在建课时支持视频中任意时间点插入图片或PPT：可以在任意时间点插入图片或PPT，同时支持对插入的内容在时间轴上随意拖动。插入的PPT可以任意拖动位置，并可以跟视频窗口进行切换。（2分）</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4、支持知识点拓展阅读功能，可以根据一个关键词自动生成相关知识点的知识树，插入到课程单元中，并自动推送知识点相关的图书、期刊、论文等资料。（2分）</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5、支持任务点设计，教师可以将课程章节内视频、图书、作业等内容设置为任务点，灵活控制学生学习的情况。学生端可以看到整个课程和每个章节需要完成的任务点情况，每完成一个任务，数量会自动减一。（2分）</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6、笔记功能：学生可以通过图片、录音、文字、链接、位置等方式记录学习内容，同时录音内容支持实时智能识别，转换成文字内容；并且支持打点记录学习或会议内容。（2分）</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7、课程引用资源：教师建设网络课程时，可通过系统推荐或者自行检索将教学资源库中的资源引用到网络课程章节中，并可以设置成为任务点，丰富课程资源。课程资源推送到资源库：可以将教师在网络教学平台中建好的网络课程资源直接推送至教学资源库中进行共享。（2分）</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8、门户管理</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 xml:space="preserve">（1）门户提供不少于10套门户样式风格模版，选择模板后可快速生成含部分常用应用模块的页面。支持对模板内容进行编辑调整，提供背景设置、主题颜色设置，页面上的应用、图标等相关元素自主实现与主题色统一。 </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2）系统提供相应的模块配置，分为布局、基础、应用和全局模块来管理。布局模块提供页面常用布局框架，拖拽入布局中的模块自适应排版。提供基础模块用以生成网站应用模块和页面，满足绝大部分网站内容的展现形式。支持可视化的拖拽和设置，随时自主改变模块尺寸大小、位置和样式。（2分）</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9、教师备课：教师可以在移动端中的活动库中，设置移动教案。按照教学计划，教师可提前在移动端上组织教学内容，有序安排资料推送、签到、问答、抢答、投票等教学活动，方便课堂发放并易于复用。（2分）</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10、课堂互动功能：教师通过移动端进行课件投屏，PPT投屏演示保留动画效果，播放流畅。投屏时手机端和PC端界面同步，投屏过程中提供选人、抢答、分组任务、白板、主题讨论等教学环节，并能直接在投屏上展示结果数据。（2分）</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11、通知：可以在移动客户端选择给指定的人发送通知，并统计已读和未读名单。（1分）</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12、提供字幕翻译：观看章节视频时支持选择语言显示翻译字幕，通过多语言智能翻译，课程实时呈现双语</w:t>
            </w:r>
          </w:p>
          <w:p>
            <w:pPr>
              <w:adjustRightInd w:val="0"/>
              <w:spacing w:line="400" w:lineRule="exact"/>
              <w:textAlignment w:val="baseline"/>
              <w:rPr>
                <w:rFonts w:ascii="宋体" w:hAnsi="宋体" w:eastAsia="宋体" w:cs="宋体"/>
                <w:sz w:val="24"/>
                <w:szCs w:val="24"/>
              </w:rPr>
            </w:pPr>
            <w:r>
              <w:rPr>
                <w:rFonts w:hint="eastAsia" w:ascii="宋体" w:hAnsi="宋体" w:eastAsia="宋体" w:cs="宋体"/>
                <w:sz w:val="24"/>
                <w:szCs w:val="24"/>
              </w:rPr>
              <w:t>字幕，实现国际化教学过程中的无障碍交流。（2分）</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13、移动端资源引用：移动客户端中，教师可以在课堂教学中引用教学资源库中的资源，在教案中引入PPT，可以在课程章节中引用教学资源库素材资源，可以在作业或者考试中引用教学资源题库资源。（2分）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906" w:type="dxa"/>
            <w:vMerge w:val="restart"/>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商务</w:t>
            </w:r>
          </w:p>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部分</w:t>
            </w:r>
          </w:p>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27分</w:t>
            </w:r>
          </w:p>
        </w:tc>
        <w:tc>
          <w:tcPr>
            <w:tcW w:w="1953" w:type="dxa"/>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类似业绩</w:t>
            </w:r>
          </w:p>
        </w:tc>
        <w:tc>
          <w:tcPr>
            <w:tcW w:w="720" w:type="dxa"/>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10</w:t>
            </w:r>
          </w:p>
        </w:tc>
        <w:tc>
          <w:tcPr>
            <w:tcW w:w="6203" w:type="dxa"/>
            <w:vAlign w:val="center"/>
          </w:tcPr>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提供近三年内同类型教学资源库平台成功案例，8个及以上得10分，6 个以上得5分，其他计0分（提供合同关键页复印件并加盖公章，原件备查）。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906" w:type="dxa"/>
            <w:vMerge w:val="continue"/>
            <w:vAlign w:val="center"/>
          </w:tcPr>
          <w:p>
            <w:pPr>
              <w:adjustRightInd w:val="0"/>
              <w:spacing w:line="400" w:lineRule="exact"/>
              <w:jc w:val="center"/>
              <w:textAlignment w:val="baseline"/>
              <w:rPr>
                <w:rFonts w:ascii="宋体" w:hAnsi="宋体" w:eastAsia="宋体" w:cs="宋体"/>
                <w:sz w:val="24"/>
                <w:szCs w:val="24"/>
              </w:rPr>
            </w:pPr>
          </w:p>
        </w:tc>
        <w:tc>
          <w:tcPr>
            <w:tcW w:w="1953" w:type="dxa"/>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软件资质</w:t>
            </w:r>
          </w:p>
        </w:tc>
        <w:tc>
          <w:tcPr>
            <w:tcW w:w="720" w:type="dxa"/>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4</w:t>
            </w:r>
          </w:p>
        </w:tc>
        <w:tc>
          <w:tcPr>
            <w:tcW w:w="6203" w:type="dxa"/>
            <w:vAlign w:val="center"/>
          </w:tcPr>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1、具有软件企业认证证书，满足该条件得1分。</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 xml:space="preserve">2、具有企业信用具有AAA等级证书，满足该条件得1分。 </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3、具有ISO9001质量管理体系认证证书，满足该条件得1分。</w:t>
            </w:r>
          </w:p>
          <w:p>
            <w:pPr>
              <w:adjustRightInd w:val="0"/>
              <w:spacing w:line="400" w:lineRule="exact"/>
              <w:ind w:firstLine="420" w:firstLineChars="175"/>
              <w:textAlignment w:val="baseline"/>
              <w:rPr>
                <w:rFonts w:ascii="宋体" w:hAnsi="宋体" w:eastAsia="宋体" w:cs="宋体"/>
                <w:sz w:val="24"/>
                <w:szCs w:val="24"/>
              </w:rPr>
            </w:pPr>
            <w:r>
              <w:rPr>
                <w:rFonts w:hint="eastAsia" w:ascii="宋体" w:hAnsi="宋体" w:eastAsia="宋体" w:cs="宋体"/>
                <w:sz w:val="24"/>
                <w:szCs w:val="24"/>
              </w:rPr>
              <w:t>4、具有出版物经营许可证，满足该条件得1分。</w:t>
            </w:r>
          </w:p>
          <w:p>
            <w:pPr>
              <w:adjustRightInd w:val="0"/>
              <w:spacing w:line="400" w:lineRule="exact"/>
              <w:textAlignment w:val="baseline"/>
              <w:rPr>
                <w:rFonts w:ascii="宋体" w:hAnsi="宋体" w:eastAsia="宋体" w:cs="宋体"/>
                <w:sz w:val="24"/>
                <w:szCs w:val="24"/>
              </w:rPr>
            </w:pPr>
            <w:r>
              <w:rPr>
                <w:rFonts w:hint="eastAsia" w:ascii="宋体" w:hAnsi="宋体" w:eastAsia="宋体" w:cs="宋体"/>
                <w:sz w:val="24"/>
                <w:szCs w:val="24"/>
              </w:rPr>
              <w:t>（提供有效证书复印件，原件备查，否则不计分）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06" w:type="dxa"/>
            <w:vMerge w:val="continue"/>
            <w:vAlign w:val="center"/>
          </w:tcPr>
          <w:p>
            <w:pPr>
              <w:adjustRightInd w:val="0"/>
              <w:spacing w:line="400" w:lineRule="exact"/>
              <w:jc w:val="center"/>
              <w:textAlignment w:val="baseline"/>
              <w:rPr>
                <w:rFonts w:ascii="宋体" w:hAnsi="宋体" w:eastAsia="宋体" w:cs="宋体"/>
                <w:sz w:val="24"/>
                <w:szCs w:val="24"/>
              </w:rPr>
            </w:pPr>
          </w:p>
        </w:tc>
        <w:tc>
          <w:tcPr>
            <w:tcW w:w="1953" w:type="dxa"/>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售后服务</w:t>
            </w:r>
          </w:p>
        </w:tc>
        <w:tc>
          <w:tcPr>
            <w:tcW w:w="720" w:type="dxa"/>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13</w:t>
            </w:r>
          </w:p>
        </w:tc>
        <w:tc>
          <w:tcPr>
            <w:tcW w:w="6203" w:type="dxa"/>
            <w:vAlign w:val="center"/>
          </w:tcPr>
          <w:p>
            <w:pPr>
              <w:spacing w:line="400" w:lineRule="exact"/>
              <w:ind w:firstLine="480" w:firstLineChars="200"/>
              <w:textAlignment w:val="baseline"/>
              <w:rPr>
                <w:rFonts w:ascii="宋体" w:hAnsi="宋体" w:eastAsia="宋体" w:cs="宋体"/>
                <w:bCs/>
                <w:sz w:val="24"/>
                <w:szCs w:val="24"/>
              </w:rPr>
            </w:pPr>
            <w:r>
              <w:rPr>
                <w:rFonts w:hint="eastAsia" w:ascii="宋体" w:hAnsi="宋体" w:eastAsia="宋体" w:cs="宋体"/>
                <w:bCs/>
                <w:sz w:val="24"/>
                <w:szCs w:val="24"/>
              </w:rPr>
              <w:t>由评委根据供应商响应文件中售后服务承诺书内容的完整性、可行性、到达故障现场时间、故障出现解决方案、定期维护（注明时间）、免费技术培训方案、保修期外维修方案、本地化售后服务措施、其他优惠措施等方面进行打分。</w:t>
            </w:r>
          </w:p>
          <w:p>
            <w:pPr>
              <w:spacing w:line="400" w:lineRule="exact"/>
              <w:ind w:firstLine="480" w:firstLineChars="200"/>
              <w:textAlignment w:val="baseline"/>
              <w:rPr>
                <w:rFonts w:ascii="宋体" w:hAnsi="宋体" w:eastAsia="宋体" w:cs="宋体"/>
                <w:bCs/>
                <w:sz w:val="24"/>
                <w:szCs w:val="24"/>
              </w:rPr>
            </w:pPr>
            <w:r>
              <w:rPr>
                <w:rFonts w:hint="eastAsia" w:ascii="宋体" w:hAnsi="宋体" w:eastAsia="宋体" w:cs="宋体"/>
                <w:bCs/>
                <w:sz w:val="24"/>
                <w:szCs w:val="24"/>
              </w:rPr>
              <w:t>一档3分：磋商供应商所提供的售后服务方案，方案包含有项目售后维护和应急保障措施，方案可行。售后服务响应时间、维修人员到达时间以及维修时间基本满足磋商文件要求。</w:t>
            </w:r>
          </w:p>
          <w:p>
            <w:pPr>
              <w:spacing w:line="400" w:lineRule="exact"/>
              <w:ind w:firstLine="480" w:firstLineChars="200"/>
              <w:textAlignment w:val="baseline"/>
              <w:rPr>
                <w:rFonts w:ascii="宋体" w:hAnsi="宋体" w:eastAsia="宋体" w:cs="宋体"/>
                <w:bCs/>
                <w:sz w:val="24"/>
                <w:szCs w:val="24"/>
              </w:rPr>
            </w:pPr>
            <w:r>
              <w:rPr>
                <w:rFonts w:hint="eastAsia" w:ascii="宋体" w:hAnsi="宋体" w:eastAsia="宋体" w:cs="宋体"/>
                <w:bCs/>
                <w:sz w:val="24"/>
                <w:szCs w:val="24"/>
              </w:rPr>
              <w:t>二档6分：磋商供应商所提供的售后服务方案，方案包含有项目售后维护、应急保障措施等，且描述了项目售后维护和应急保障方案的方法以及实现方式，方案可行较详细。售后服务响应时间、维修人员到达时间以及维修时间完全满足磋商文件要求。</w:t>
            </w:r>
          </w:p>
          <w:p>
            <w:pPr>
              <w:spacing w:line="400" w:lineRule="exact"/>
              <w:ind w:firstLine="480" w:firstLineChars="200"/>
              <w:textAlignment w:val="baseline"/>
              <w:rPr>
                <w:rFonts w:ascii="宋体" w:hAnsi="宋体" w:eastAsia="宋体" w:cs="宋体"/>
                <w:bCs/>
                <w:sz w:val="24"/>
                <w:szCs w:val="24"/>
              </w:rPr>
            </w:pPr>
            <w:r>
              <w:rPr>
                <w:rFonts w:hint="eastAsia" w:ascii="宋体" w:hAnsi="宋体" w:eastAsia="宋体" w:cs="宋体"/>
                <w:bCs/>
                <w:sz w:val="24"/>
                <w:szCs w:val="24"/>
              </w:rPr>
              <w:t>三档13分：磋商供应商所提供的售后服务方案，方案包含有项目售后维护、应急保障措施且描述了项目售后维护和应急保障方案的方法以及实现方式，服务承诺和保障措施考虑周全完整详细。售后服务响应时间、维修人员到达时间以及维修时间优于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06" w:type="dxa"/>
            <w:vAlign w:val="center"/>
          </w:tcPr>
          <w:p>
            <w:pPr>
              <w:adjustRightInd w:val="0"/>
              <w:spacing w:line="400" w:lineRule="exact"/>
              <w:jc w:val="center"/>
              <w:textAlignment w:val="baseline"/>
              <w:rPr>
                <w:rFonts w:ascii="宋体" w:hAnsi="宋体" w:eastAsia="宋体" w:cs="宋体"/>
                <w:sz w:val="24"/>
                <w:szCs w:val="24"/>
              </w:rPr>
            </w:pPr>
          </w:p>
        </w:tc>
        <w:tc>
          <w:tcPr>
            <w:tcW w:w="1953" w:type="dxa"/>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总分</w:t>
            </w:r>
          </w:p>
        </w:tc>
        <w:tc>
          <w:tcPr>
            <w:tcW w:w="6923" w:type="dxa"/>
            <w:gridSpan w:val="2"/>
            <w:vAlign w:val="center"/>
          </w:tcPr>
          <w:p>
            <w:pPr>
              <w:adjustRightInd w:val="0"/>
              <w:spacing w:line="400" w:lineRule="exact"/>
              <w:jc w:val="center"/>
              <w:textAlignment w:val="baseline"/>
              <w:rPr>
                <w:rFonts w:ascii="宋体" w:hAnsi="宋体" w:eastAsia="宋体" w:cs="宋体"/>
                <w:sz w:val="24"/>
                <w:szCs w:val="24"/>
              </w:rPr>
            </w:pPr>
            <w:r>
              <w:rPr>
                <w:rFonts w:hint="eastAsia" w:ascii="宋体" w:hAnsi="宋体" w:eastAsia="宋体" w:cs="宋体"/>
                <w:sz w:val="24"/>
                <w:szCs w:val="24"/>
              </w:rPr>
              <w:t>100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NTgyYTJjM2YzZDgwZjNhNjk3YjYzNzU0YjM1NjkifQ=="/>
  </w:docVars>
  <w:rsids>
    <w:rsidRoot w:val="1ACB6FE6"/>
    <w:rsid w:val="1ACB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2023-09-22T09:57:00Z</dcterms:created>
  <dc:creator>Administrator</dc:creator>
  <cp:lastModifiedBy>Administrator</cp:lastModifiedBy>
  <dcterms:modified xsi:type="dcterms:W3CDTF">2023-09-22T09:59:25Z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60F76AB8A29A48E6854E9EC6F1C941F2_11</vt:lpwstr>
  </property>
</Properties>
</file>